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8D" w:rsidRPr="00AB08DC" w:rsidRDefault="00B45163" w:rsidP="00503C52">
      <w:pPr>
        <w:pStyle w:val="a3"/>
        <w:ind w:left="-142" w:right="-284" w:hanging="142"/>
        <w:jc w:val="both"/>
        <w:rPr>
          <w:sz w:val="22"/>
          <w:szCs w:val="22"/>
          <w:lang w:val="uk-UA"/>
        </w:rPr>
      </w:pPr>
      <w:r w:rsidRPr="00AB08DC">
        <w:rPr>
          <w:sz w:val="22"/>
          <w:szCs w:val="22"/>
          <w:lang w:val="uk-UA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05"/>
      </w:tblGrid>
      <w:tr w:rsidR="00C86125" w:rsidRPr="006B1CD9">
        <w:trPr>
          <w:tblCellSpacing w:w="22" w:type="dxa"/>
        </w:trPr>
        <w:tc>
          <w:tcPr>
            <w:tcW w:w="5000" w:type="pct"/>
            <w:hideMark/>
          </w:tcPr>
          <w:p w:rsidR="00461D8D" w:rsidRPr="00AB08DC" w:rsidRDefault="00B45163">
            <w:pPr>
              <w:pStyle w:val="a3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Додаток 5</w:t>
            </w:r>
            <w:r w:rsidRPr="00AB08DC">
              <w:rPr>
                <w:sz w:val="22"/>
                <w:szCs w:val="22"/>
                <w:lang w:val="uk-UA"/>
              </w:rPr>
              <w:br/>
              <w:t>до постанови Правління Національного банку України</w:t>
            </w:r>
            <w:r w:rsidRPr="00AB08DC">
              <w:rPr>
                <w:sz w:val="22"/>
                <w:szCs w:val="22"/>
                <w:lang w:val="uk-UA"/>
              </w:rPr>
              <w:br/>
            </w:r>
            <w:r w:rsidR="00A767D8" w:rsidRPr="00AB08DC">
              <w:rPr>
                <w:sz w:val="22"/>
                <w:szCs w:val="22"/>
                <w:lang w:val="uk-UA"/>
              </w:rPr>
              <w:t xml:space="preserve">від </w:t>
            </w:r>
            <w:r w:rsidRPr="00AB08DC">
              <w:rPr>
                <w:sz w:val="22"/>
                <w:szCs w:val="22"/>
                <w:lang w:val="uk-UA"/>
              </w:rPr>
              <w:t xml:space="preserve">15 лютого 2018 року </w:t>
            </w:r>
            <w:r w:rsidR="000B0E8E" w:rsidRPr="00AB08DC">
              <w:rPr>
                <w:sz w:val="22"/>
                <w:szCs w:val="22"/>
                <w:lang w:val="uk-UA"/>
              </w:rPr>
              <w:t>№</w:t>
            </w:r>
            <w:r w:rsidRPr="00AB08DC">
              <w:rPr>
                <w:sz w:val="22"/>
                <w:szCs w:val="22"/>
                <w:lang w:val="uk-UA"/>
              </w:rPr>
              <w:t>11</w:t>
            </w:r>
            <w:r w:rsidR="000B0E8E" w:rsidRPr="00AB08DC">
              <w:rPr>
                <w:sz w:val="22"/>
                <w:szCs w:val="22"/>
                <w:lang w:val="uk-UA"/>
              </w:rPr>
              <w:t xml:space="preserve"> (зі змінами)</w:t>
            </w:r>
          </w:p>
          <w:p w:rsidR="00D24DFF" w:rsidRPr="00AB08DC" w:rsidRDefault="00D24DFF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a6"/>
        <w:tblW w:w="15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0"/>
      </w:tblGrid>
      <w:tr w:rsidR="00C86125" w:rsidRPr="006B1CD9" w:rsidTr="00DF4BD4">
        <w:tc>
          <w:tcPr>
            <w:tcW w:w="4971" w:type="pct"/>
            <w:hideMark/>
          </w:tcPr>
          <w:p w:rsidR="00F21B12" w:rsidRPr="00AB08DC" w:rsidRDefault="00B45163" w:rsidP="00D24DFF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B08DC">
              <w:rPr>
                <w:b/>
                <w:bCs/>
                <w:sz w:val="22"/>
                <w:szCs w:val="22"/>
                <w:lang w:val="uk-UA"/>
              </w:rPr>
              <w:t xml:space="preserve">Нормативи </w:t>
            </w:r>
            <w:r w:rsidR="000B0E8E" w:rsidRPr="00AB08DC">
              <w:rPr>
                <w:b/>
                <w:bCs/>
                <w:sz w:val="22"/>
                <w:szCs w:val="22"/>
                <w:lang w:val="uk-UA"/>
              </w:rPr>
              <w:t xml:space="preserve">капіталу та їх складових станом на </w:t>
            </w:r>
            <w:r w:rsidR="00791B6E" w:rsidRPr="00AB08DC">
              <w:rPr>
                <w:b/>
                <w:bCs/>
                <w:sz w:val="22"/>
                <w:szCs w:val="22"/>
                <w:lang w:val="uk-UA"/>
              </w:rPr>
              <w:t xml:space="preserve">1 </w:t>
            </w:r>
            <w:r w:rsidR="006B1CD9">
              <w:rPr>
                <w:b/>
                <w:bCs/>
                <w:sz w:val="22"/>
                <w:szCs w:val="22"/>
                <w:lang w:val="uk-UA"/>
              </w:rPr>
              <w:t>лютого</w:t>
            </w:r>
            <w:r w:rsidR="00C40D1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AB08DC">
              <w:rPr>
                <w:b/>
                <w:bCs/>
                <w:sz w:val="22"/>
                <w:szCs w:val="22"/>
                <w:lang w:val="uk-UA"/>
              </w:rPr>
              <w:t>20</w:t>
            </w:r>
            <w:r w:rsidR="00D83677" w:rsidRPr="00AB08DC"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E34DEC"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AB08DC">
              <w:rPr>
                <w:b/>
                <w:bCs/>
                <w:sz w:val="22"/>
                <w:szCs w:val="22"/>
                <w:lang w:val="uk-UA"/>
              </w:rPr>
              <w:t xml:space="preserve"> року</w:t>
            </w:r>
          </w:p>
          <w:p w:rsidR="00461D8D" w:rsidRPr="00AB08DC" w:rsidRDefault="00167BD1" w:rsidP="006B1CD9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b/>
                <w:bCs/>
                <w:sz w:val="22"/>
                <w:szCs w:val="22"/>
                <w:lang w:val="uk-UA"/>
              </w:rPr>
              <w:t xml:space="preserve">(за даними </w:t>
            </w:r>
            <w:r w:rsidR="00F21B12" w:rsidRPr="00AB08DC">
              <w:rPr>
                <w:b/>
                <w:bCs/>
                <w:sz w:val="22"/>
                <w:szCs w:val="22"/>
                <w:lang w:val="uk-UA"/>
              </w:rPr>
              <w:t>файл</w:t>
            </w:r>
            <w:r w:rsidRPr="00AB08DC">
              <w:rPr>
                <w:b/>
                <w:bCs/>
                <w:sz w:val="22"/>
                <w:szCs w:val="22"/>
                <w:lang w:val="uk-UA"/>
              </w:rPr>
              <w:t>у</w:t>
            </w:r>
            <w:r w:rsidR="00F21B12" w:rsidRPr="00AB08DC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AB08DC">
              <w:rPr>
                <w:b/>
                <w:bCs/>
                <w:sz w:val="22"/>
                <w:szCs w:val="22"/>
                <w:lang w:val="uk-UA"/>
              </w:rPr>
              <w:t>01X</w:t>
            </w:r>
            <w:r w:rsidR="00F21B12" w:rsidRPr="00AB08DC">
              <w:rPr>
                <w:b/>
                <w:bCs/>
                <w:sz w:val="22"/>
                <w:szCs w:val="22"/>
                <w:lang w:val="uk-UA"/>
              </w:rPr>
              <w:t xml:space="preserve"> до пр</w:t>
            </w:r>
            <w:r w:rsidR="004821E4" w:rsidRPr="00AB08DC">
              <w:rPr>
                <w:b/>
                <w:bCs/>
                <w:sz w:val="22"/>
                <w:szCs w:val="22"/>
                <w:lang w:val="uk-UA"/>
              </w:rPr>
              <w:t xml:space="preserve">оведення коригуючих проводок за </w:t>
            </w:r>
            <w:r w:rsidR="006B1CD9">
              <w:rPr>
                <w:b/>
                <w:bCs/>
                <w:sz w:val="22"/>
                <w:szCs w:val="22"/>
                <w:lang w:val="uk-UA"/>
              </w:rPr>
              <w:t>січень</w:t>
            </w:r>
            <w:r w:rsidR="00E837FE" w:rsidRPr="00F13BAB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6E6DF3" w:rsidRPr="00AB08DC">
              <w:rPr>
                <w:b/>
                <w:bCs/>
                <w:sz w:val="22"/>
                <w:szCs w:val="22"/>
                <w:lang w:val="uk-UA"/>
              </w:rPr>
              <w:t>20</w:t>
            </w:r>
            <w:r w:rsidR="00F0673B" w:rsidRPr="00AB08DC"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6B1CD9">
              <w:rPr>
                <w:b/>
                <w:bCs/>
                <w:sz w:val="22"/>
                <w:szCs w:val="22"/>
                <w:lang w:val="uk-UA"/>
              </w:rPr>
              <w:t>4</w:t>
            </w:r>
            <w:r w:rsidR="006E6DF3" w:rsidRPr="00AB08DC">
              <w:rPr>
                <w:b/>
                <w:bCs/>
                <w:sz w:val="22"/>
                <w:szCs w:val="22"/>
                <w:lang w:val="uk-UA"/>
              </w:rPr>
              <w:t xml:space="preserve"> року</w:t>
            </w:r>
            <w:r w:rsidR="00F21B12" w:rsidRPr="00AB08DC">
              <w:rPr>
                <w:b/>
                <w:bCs/>
                <w:sz w:val="22"/>
                <w:szCs w:val="22"/>
                <w:lang w:val="uk-UA"/>
              </w:rPr>
              <w:t>)</w:t>
            </w:r>
            <w:r w:rsidR="00B45163" w:rsidRPr="00AB08DC">
              <w:rPr>
                <w:sz w:val="22"/>
                <w:szCs w:val="22"/>
                <w:lang w:val="uk-UA"/>
              </w:rPr>
              <w:br/>
            </w:r>
          </w:p>
        </w:tc>
      </w:tr>
    </w:tbl>
    <w:p w:rsidR="00461D8D" w:rsidRPr="00AB08DC" w:rsidRDefault="00B45163">
      <w:pPr>
        <w:pStyle w:val="a3"/>
        <w:jc w:val="right"/>
        <w:rPr>
          <w:sz w:val="22"/>
          <w:szCs w:val="22"/>
          <w:lang w:val="uk-UA"/>
        </w:rPr>
      </w:pPr>
      <w:r w:rsidRPr="00AB08DC">
        <w:rPr>
          <w:sz w:val="22"/>
          <w:szCs w:val="22"/>
          <w:lang w:val="uk-UA"/>
        </w:rPr>
        <w:t>Таблиця</w:t>
      </w:r>
      <w:r w:rsidRPr="00AB08DC">
        <w:rPr>
          <w:sz w:val="22"/>
          <w:szCs w:val="22"/>
          <w:lang w:val="uk-UA"/>
        </w:rPr>
        <w:br/>
        <w:t xml:space="preserve">(тис </w:t>
      </w:r>
      <w:r w:rsidR="00070D46" w:rsidRPr="00AB08DC">
        <w:rPr>
          <w:sz w:val="22"/>
          <w:szCs w:val="22"/>
          <w:lang w:val="uk-UA"/>
        </w:rPr>
        <w:t>г</w:t>
      </w:r>
      <w:r w:rsidRPr="00AB08DC">
        <w:rPr>
          <w:sz w:val="22"/>
          <w:szCs w:val="22"/>
          <w:lang w:val="uk-UA"/>
        </w:rPr>
        <w:t>рн)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722"/>
        <w:gridCol w:w="2311"/>
        <w:gridCol w:w="2311"/>
        <w:gridCol w:w="1734"/>
        <w:gridCol w:w="1878"/>
        <w:gridCol w:w="1878"/>
        <w:gridCol w:w="1878"/>
        <w:gridCol w:w="1734"/>
      </w:tblGrid>
      <w:tr w:rsidR="00C86125" w:rsidRPr="006B1CD9" w:rsidTr="001D48D2">
        <w:trPr>
          <w:jc w:val="center"/>
        </w:trPr>
        <w:tc>
          <w:tcPr>
            <w:tcW w:w="250" w:type="pct"/>
            <w:vAlign w:val="center"/>
            <w:hideMark/>
          </w:tcPr>
          <w:p w:rsidR="000B0E8E" w:rsidRPr="00AB08DC" w:rsidRDefault="000B0E8E" w:rsidP="000B0E8E">
            <w:pPr>
              <w:jc w:val="center"/>
              <w:rPr>
                <w:rFonts w:eastAsia="Times New Roman"/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№ з/п</w:t>
            </w:r>
          </w:p>
        </w:tc>
        <w:tc>
          <w:tcPr>
            <w:tcW w:w="80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Найменування банку</w:t>
            </w:r>
          </w:p>
        </w:tc>
        <w:tc>
          <w:tcPr>
            <w:tcW w:w="800" w:type="pct"/>
            <w:hideMark/>
          </w:tcPr>
          <w:p w:rsidR="000B0E8E" w:rsidRPr="00AB08DC" w:rsidRDefault="00A55CA2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регулятивного капіталу (РК) (Н1)</w:t>
            </w:r>
          </w:p>
        </w:tc>
        <w:tc>
          <w:tcPr>
            <w:tcW w:w="60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основного капіталу (ОК)</w:t>
            </w:r>
          </w:p>
        </w:tc>
        <w:tc>
          <w:tcPr>
            <w:tcW w:w="65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додаткового</w:t>
            </w:r>
            <w:r w:rsidRPr="00AB08DC">
              <w:rPr>
                <w:sz w:val="21"/>
                <w:szCs w:val="21"/>
                <w:lang w:val="uk-UA"/>
              </w:rPr>
              <w:br/>
              <w:t xml:space="preserve">капіталу до </w:t>
            </w:r>
            <w:r w:rsidRPr="00AB08DC">
              <w:rPr>
                <w:sz w:val="21"/>
                <w:szCs w:val="21"/>
                <w:lang w:val="uk-UA"/>
              </w:rPr>
              <w:br/>
              <w:t xml:space="preserve">розрахунку (ДК) (додатковий  капітал </w:t>
            </w:r>
            <w:r w:rsidRPr="00AB08DC">
              <w:rPr>
                <w:sz w:val="21"/>
                <w:szCs w:val="21"/>
                <w:lang w:val="uk-UA"/>
              </w:rPr>
              <w:br/>
              <w:t xml:space="preserve">не  може  бути  більше  основного  капіталу </w:t>
            </w:r>
            <w:r w:rsidRPr="00AB08DC">
              <w:rPr>
                <w:sz w:val="21"/>
                <w:szCs w:val="21"/>
                <w:lang w:val="uk-UA"/>
              </w:rPr>
              <w:br/>
              <w:t>(ОК), тому дорівнює ОК, якщо ДК&gt;ОК)</w:t>
            </w:r>
          </w:p>
        </w:tc>
        <w:tc>
          <w:tcPr>
            <w:tcW w:w="65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додаткового</w:t>
            </w:r>
            <w:r w:rsidRPr="00AB08DC">
              <w:rPr>
                <w:sz w:val="21"/>
                <w:szCs w:val="21"/>
                <w:lang w:val="uk-UA"/>
              </w:rPr>
              <w:br/>
              <w:t>капіталу</w:t>
            </w:r>
          </w:p>
        </w:tc>
        <w:tc>
          <w:tcPr>
            <w:tcW w:w="65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відвернення (В)</w:t>
            </w:r>
          </w:p>
        </w:tc>
        <w:tc>
          <w:tcPr>
            <w:tcW w:w="60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зменшення основного капіталу</w:t>
            </w:r>
          </w:p>
        </w:tc>
      </w:tr>
      <w:tr w:rsidR="00C86125" w:rsidRPr="00322D1A" w:rsidTr="009263CC">
        <w:trPr>
          <w:trHeight w:val="375"/>
          <w:jc w:val="center"/>
        </w:trPr>
        <w:tc>
          <w:tcPr>
            <w:tcW w:w="25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0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0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0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5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5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5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0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8</w:t>
            </w:r>
          </w:p>
        </w:tc>
      </w:tr>
      <w:tr w:rsidR="005422BB" w:rsidRPr="00322D1A" w:rsidTr="006E1288">
        <w:trPr>
          <w:trHeight w:val="284"/>
          <w:jc w:val="center"/>
        </w:trPr>
        <w:tc>
          <w:tcPr>
            <w:tcW w:w="250" w:type="pct"/>
            <w:vAlign w:val="center"/>
          </w:tcPr>
          <w:p w:rsidR="005422BB" w:rsidRPr="00322D1A" w:rsidRDefault="005422BB" w:rsidP="005422BB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5422BB" w:rsidRPr="00322D1A" w:rsidRDefault="005422BB" w:rsidP="005422BB">
            <w:pPr>
              <w:jc w:val="center"/>
              <w:rPr>
                <w:sz w:val="20"/>
                <w:szCs w:val="20"/>
              </w:rPr>
            </w:pPr>
            <w:r w:rsidRPr="00322D1A">
              <w:rPr>
                <w:sz w:val="20"/>
                <w:szCs w:val="20"/>
              </w:rPr>
              <w:t>АТ “</w:t>
            </w:r>
            <w:proofErr w:type="spellStart"/>
            <w:r w:rsidRPr="00322D1A">
              <w:rPr>
                <w:sz w:val="20"/>
                <w:szCs w:val="20"/>
              </w:rPr>
              <w:t>Ощадбанк</w:t>
            </w:r>
            <w:proofErr w:type="spellEnd"/>
            <w:r w:rsidRPr="00322D1A">
              <w:rPr>
                <w:sz w:val="20"/>
                <w:szCs w:val="20"/>
              </w:rPr>
              <w:t>”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BB" w:rsidRDefault="005422BB" w:rsidP="00542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22 662 102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BB" w:rsidRDefault="005422BB" w:rsidP="005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14 780 595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BB" w:rsidRDefault="005422BB" w:rsidP="005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7 934 961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BB" w:rsidRDefault="005422BB" w:rsidP="005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7 934 961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BB" w:rsidRDefault="005422BB" w:rsidP="005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53 454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BB" w:rsidRDefault="005422BB" w:rsidP="005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35 198 570</w:t>
            </w:r>
          </w:p>
        </w:tc>
      </w:tr>
    </w:tbl>
    <w:p w:rsidR="003555BD" w:rsidRPr="00AB08DC" w:rsidRDefault="003555BD">
      <w:pPr>
        <w:pStyle w:val="a3"/>
        <w:jc w:val="right"/>
        <w:rPr>
          <w:sz w:val="22"/>
          <w:szCs w:val="22"/>
          <w:highlight w:val="lightGray"/>
          <w:lang w:val="uk-UA"/>
        </w:rPr>
      </w:pPr>
    </w:p>
    <w:p w:rsidR="00AF6935" w:rsidRPr="00AB08DC" w:rsidRDefault="00AF6935">
      <w:pPr>
        <w:pStyle w:val="a3"/>
        <w:jc w:val="right"/>
        <w:rPr>
          <w:sz w:val="22"/>
          <w:szCs w:val="22"/>
          <w:highlight w:val="lightGray"/>
          <w:lang w:val="uk-UA"/>
        </w:rPr>
      </w:pPr>
    </w:p>
    <w:p w:rsidR="000B0E8E" w:rsidRPr="00AB08DC" w:rsidRDefault="000B0E8E">
      <w:pPr>
        <w:rPr>
          <w:sz w:val="22"/>
          <w:szCs w:val="22"/>
          <w:highlight w:val="lightGray"/>
          <w:lang w:val="uk-UA"/>
        </w:rPr>
      </w:pPr>
      <w:r w:rsidRPr="00AB08DC">
        <w:rPr>
          <w:sz w:val="22"/>
          <w:szCs w:val="22"/>
          <w:highlight w:val="lightGray"/>
          <w:lang w:val="uk-UA"/>
        </w:rPr>
        <w:br w:type="page"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187"/>
        <w:gridCol w:w="2063"/>
        <w:gridCol w:w="1312"/>
        <w:gridCol w:w="2011"/>
        <w:gridCol w:w="3438"/>
        <w:gridCol w:w="3435"/>
      </w:tblGrid>
      <w:tr w:rsidR="00C86125" w:rsidRPr="00AB08DC" w:rsidTr="000B0E8E">
        <w:tc>
          <w:tcPr>
            <w:tcW w:w="5000" w:type="pct"/>
            <w:gridSpan w:val="6"/>
            <w:hideMark/>
          </w:tcPr>
          <w:p w:rsidR="000B0E8E" w:rsidRPr="00AB08DC" w:rsidRDefault="000B0E8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lastRenderedPageBreak/>
              <w:t>Регулятивний капітал (РК)</w:t>
            </w:r>
          </w:p>
        </w:tc>
      </w:tr>
      <w:tr w:rsidR="00C86125" w:rsidRPr="00AB08DC" w:rsidTr="000B0E8E">
        <w:tc>
          <w:tcPr>
            <w:tcW w:w="5000" w:type="pct"/>
            <w:gridSpan w:val="6"/>
            <w:hideMark/>
          </w:tcPr>
          <w:p w:rsidR="000B0E8E" w:rsidRPr="00AB08DC" w:rsidRDefault="000B0E8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основний капітал</w:t>
            </w:r>
          </w:p>
        </w:tc>
      </w:tr>
      <w:tr w:rsidR="00C86125" w:rsidRPr="006B1CD9" w:rsidTr="005833B9">
        <w:tc>
          <w:tcPr>
            <w:tcW w:w="757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фактично сплачений зареєстрований статутний капітал</w:t>
            </w:r>
          </w:p>
        </w:tc>
        <w:tc>
          <w:tcPr>
            <w:tcW w:w="714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внески за незареєстрованим статутним капіталом</w:t>
            </w:r>
          </w:p>
        </w:tc>
        <w:tc>
          <w:tcPr>
            <w:tcW w:w="454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емісійні різниці</w:t>
            </w:r>
          </w:p>
        </w:tc>
        <w:tc>
          <w:tcPr>
            <w:tcW w:w="696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операції з акціонерами (фінансова допомога акціонерів банку, на яку отримано дозвіл Національного банку України щодо включення до основного капіталу)</w:t>
            </w:r>
          </w:p>
        </w:tc>
        <w:tc>
          <w:tcPr>
            <w:tcW w:w="1190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загальні резерви та резервні фонди, що створюються згідно з законами України</w:t>
            </w:r>
          </w:p>
        </w:tc>
        <w:tc>
          <w:tcPr>
            <w:tcW w:w="1189" w:type="pct"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капітальний інструмент з умовами списання/ конверсії щодо якого отримано дозвіл НБУ</w:t>
            </w:r>
          </w:p>
        </w:tc>
      </w:tr>
      <w:tr w:rsidR="00C86125" w:rsidRPr="00AB08DC" w:rsidTr="00322D1A">
        <w:trPr>
          <w:trHeight w:val="284"/>
        </w:trPr>
        <w:tc>
          <w:tcPr>
            <w:tcW w:w="757" w:type="pct"/>
            <w:vAlign w:val="center"/>
            <w:hideMark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14" w:type="pct"/>
            <w:vAlign w:val="center"/>
            <w:hideMark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54" w:type="pct"/>
            <w:vAlign w:val="center"/>
            <w:hideMark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96" w:type="pct"/>
            <w:vAlign w:val="center"/>
            <w:hideMark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190" w:type="pct"/>
            <w:vAlign w:val="center"/>
            <w:hideMark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189" w:type="pct"/>
            <w:vAlign w:val="center"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14</w:t>
            </w:r>
          </w:p>
        </w:tc>
      </w:tr>
      <w:tr w:rsidR="006E1288" w:rsidRPr="00AB08DC" w:rsidTr="006E1288">
        <w:trPr>
          <w:trHeight w:val="284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Default="006E1288" w:rsidP="006E12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49 472 840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Default="00572EA9" w:rsidP="006E1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Default="00572EA9" w:rsidP="006E1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Default="00572EA9" w:rsidP="006E1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Default="006E1288" w:rsidP="006E1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506 325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Default="00572EA9" w:rsidP="006E1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E42730" w:rsidRPr="00AB08DC" w:rsidRDefault="00E42730">
      <w:pPr>
        <w:rPr>
          <w:sz w:val="22"/>
          <w:szCs w:val="22"/>
          <w:highlight w:val="lightGray"/>
          <w:lang w:val="uk-UA"/>
        </w:rPr>
      </w:pPr>
    </w:p>
    <w:p w:rsidR="003E02A3" w:rsidRPr="00AB08DC" w:rsidRDefault="003E02A3">
      <w:pPr>
        <w:rPr>
          <w:sz w:val="22"/>
          <w:szCs w:val="22"/>
          <w:highlight w:val="lightGray"/>
          <w:lang w:val="uk-UA"/>
        </w:rPr>
      </w:pPr>
    </w:p>
    <w:p w:rsidR="008653AD" w:rsidRPr="00AB08DC" w:rsidRDefault="008653AD">
      <w:pPr>
        <w:rPr>
          <w:sz w:val="22"/>
          <w:szCs w:val="22"/>
          <w:highlight w:val="lightGray"/>
          <w:lang w:val="uk-UA"/>
        </w:rPr>
      </w:pPr>
    </w:p>
    <w:p w:rsidR="008653AD" w:rsidRPr="00AB08DC" w:rsidRDefault="008653AD">
      <w:pPr>
        <w:rPr>
          <w:sz w:val="22"/>
          <w:szCs w:val="22"/>
          <w:highlight w:val="lightGray"/>
          <w:lang w:val="uk-UA"/>
        </w:rPr>
      </w:pPr>
    </w:p>
    <w:p w:rsidR="003E02A3" w:rsidRPr="00AB08DC" w:rsidRDefault="003E02A3">
      <w:pPr>
        <w:rPr>
          <w:sz w:val="22"/>
          <w:szCs w:val="22"/>
          <w:highlight w:val="lightGray"/>
          <w:lang w:val="uk-UA"/>
        </w:rPr>
      </w:pPr>
    </w:p>
    <w:tbl>
      <w:tblPr>
        <w:tblStyle w:val="a6"/>
        <w:tblW w:w="525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134"/>
        <w:gridCol w:w="1131"/>
        <w:gridCol w:w="1135"/>
        <w:gridCol w:w="992"/>
        <w:gridCol w:w="1699"/>
        <w:gridCol w:w="1132"/>
        <w:gridCol w:w="1702"/>
        <w:gridCol w:w="1565"/>
        <w:gridCol w:w="1274"/>
        <w:gridCol w:w="1135"/>
        <w:gridCol w:w="1277"/>
        <w:gridCol w:w="992"/>
      </w:tblGrid>
      <w:tr w:rsidR="00A7791A" w:rsidRPr="00AB08DC" w:rsidTr="00A7791A">
        <w:tc>
          <w:tcPr>
            <w:tcW w:w="5000" w:type="pct"/>
            <w:gridSpan w:val="12"/>
          </w:tcPr>
          <w:p w:rsidR="00A7791A" w:rsidRPr="00AB08DC" w:rsidRDefault="00A7791A" w:rsidP="00376E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Регулятивний капітал (РК)</w:t>
            </w:r>
          </w:p>
        </w:tc>
      </w:tr>
      <w:tr w:rsidR="003A1F05" w:rsidRPr="00AB08DC" w:rsidTr="00A7791A">
        <w:tc>
          <w:tcPr>
            <w:tcW w:w="3458" w:type="pct"/>
            <w:gridSpan w:val="8"/>
          </w:tcPr>
          <w:p w:rsidR="003A1F05" w:rsidRPr="00AB08DC" w:rsidRDefault="003A1F05" w:rsidP="00376E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основний капітал</w:t>
            </w:r>
          </w:p>
        </w:tc>
        <w:tc>
          <w:tcPr>
            <w:tcW w:w="1542" w:type="pct"/>
            <w:gridSpan w:val="4"/>
            <w:hideMark/>
          </w:tcPr>
          <w:p w:rsidR="003A1F05" w:rsidRPr="00AB08DC" w:rsidRDefault="003A1F05" w:rsidP="00376E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додатковий капітал</w:t>
            </w:r>
          </w:p>
        </w:tc>
      </w:tr>
      <w:tr w:rsidR="003F1299" w:rsidRPr="006B1CD9" w:rsidTr="00A7791A">
        <w:tc>
          <w:tcPr>
            <w:tcW w:w="3458" w:type="pct"/>
            <w:gridSpan w:val="8"/>
          </w:tcPr>
          <w:p w:rsidR="003F1299" w:rsidRPr="003A1F05" w:rsidRDefault="003F1299" w:rsidP="00DB30D5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зменшення основного капіталу</w:t>
            </w:r>
          </w:p>
        </w:tc>
        <w:tc>
          <w:tcPr>
            <w:tcW w:w="420" w:type="pct"/>
            <w:vMerge w:val="restart"/>
            <w:hideMark/>
          </w:tcPr>
          <w:p w:rsidR="003F1299" w:rsidRPr="003A1F05" w:rsidRDefault="003F1299" w:rsidP="00A7791A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Резуль</w:t>
            </w:r>
            <w:r w:rsidR="00A7791A">
              <w:rPr>
                <w:sz w:val="18"/>
                <w:szCs w:val="18"/>
                <w:lang w:val="uk-UA"/>
              </w:rPr>
              <w:t>тат переоці</w:t>
            </w:r>
            <w:r w:rsidRPr="003A1F05">
              <w:rPr>
                <w:sz w:val="18"/>
                <w:szCs w:val="18"/>
                <w:lang w:val="uk-UA"/>
              </w:rPr>
              <w:t>нки основних засобів</w:t>
            </w:r>
          </w:p>
        </w:tc>
        <w:tc>
          <w:tcPr>
            <w:tcW w:w="374" w:type="pct"/>
            <w:vMerge w:val="restart"/>
            <w:hideMark/>
          </w:tcPr>
          <w:p w:rsidR="003F1299" w:rsidRPr="003A1F05" w:rsidRDefault="003F1299" w:rsidP="003A1F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нерозпо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>-ділені прибутки минулих років для розрахунку ДК (5030-НКР)&gt;0</w:t>
            </w:r>
          </w:p>
        </w:tc>
        <w:tc>
          <w:tcPr>
            <w:tcW w:w="421" w:type="pct"/>
            <w:vMerge w:val="restart"/>
            <w:hideMark/>
          </w:tcPr>
          <w:p w:rsidR="003F1299" w:rsidRPr="003A1F05" w:rsidRDefault="003F1299" w:rsidP="005833B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>озрахун</w:t>
            </w:r>
            <w:r w:rsidRPr="003A1F05">
              <w:rPr>
                <w:sz w:val="18"/>
                <w:szCs w:val="18"/>
                <w:lang w:val="uk-UA"/>
              </w:rPr>
              <w:t>ко</w:t>
            </w:r>
            <w:proofErr w:type="spellEnd"/>
            <w:r w:rsidRPr="00F13BAB">
              <w:rPr>
                <w:sz w:val="18"/>
                <w:szCs w:val="18"/>
                <w:lang w:val="ru-RU"/>
              </w:rPr>
              <w:t>-</w:t>
            </w:r>
            <w:r w:rsidRPr="003A1F05">
              <w:rPr>
                <w:sz w:val="18"/>
                <w:szCs w:val="18"/>
                <w:lang w:val="uk-UA"/>
              </w:rPr>
              <w:t>вий прибуток поточного року (</w:t>
            </w:r>
            <w:proofErr w:type="spellStart"/>
            <w:r w:rsidRPr="003A1F05">
              <w:rPr>
                <w:sz w:val="18"/>
                <w:szCs w:val="18"/>
                <w:lang w:val="uk-UA"/>
              </w:rPr>
              <w:t>Рпр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>/п)</w:t>
            </w:r>
          </w:p>
        </w:tc>
        <w:tc>
          <w:tcPr>
            <w:tcW w:w="327" w:type="pct"/>
            <w:vMerge w:val="restart"/>
            <w:hideMark/>
          </w:tcPr>
          <w:p w:rsidR="003F1299" w:rsidRPr="003A1F05" w:rsidRDefault="003F1299" w:rsidP="005833B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Суборди</w:t>
            </w:r>
            <w:proofErr w:type="spellEnd"/>
            <w:r w:rsidRPr="00F13BAB">
              <w:rPr>
                <w:sz w:val="18"/>
                <w:szCs w:val="18"/>
                <w:lang w:val="ru-RU"/>
              </w:rPr>
              <w:t>-</w:t>
            </w:r>
            <w:proofErr w:type="spellStart"/>
            <w:r>
              <w:rPr>
                <w:sz w:val="18"/>
                <w:szCs w:val="18"/>
                <w:lang w:val="uk-UA"/>
              </w:rPr>
              <w:t>нова</w:t>
            </w:r>
            <w:r w:rsidRPr="003A1F05">
              <w:rPr>
                <w:sz w:val="18"/>
                <w:szCs w:val="18"/>
                <w:lang w:val="uk-UA"/>
              </w:rPr>
              <w:t>ний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 xml:space="preserve"> борг, що враховується до капіталу (СК)</w:t>
            </w:r>
          </w:p>
        </w:tc>
      </w:tr>
      <w:tr w:rsidR="00A7791A" w:rsidRPr="006B1CD9" w:rsidTr="00722F5E">
        <w:tc>
          <w:tcPr>
            <w:tcW w:w="374" w:type="pct"/>
            <w:hideMark/>
          </w:tcPr>
          <w:p w:rsidR="00A7791A" w:rsidRPr="003A1F05" w:rsidRDefault="00A7791A" w:rsidP="00DB30D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немате-ріальні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 xml:space="preserve"> активи за мінусом суми зносу</w:t>
            </w:r>
          </w:p>
        </w:tc>
        <w:tc>
          <w:tcPr>
            <w:tcW w:w="373" w:type="pct"/>
            <w:hideMark/>
          </w:tcPr>
          <w:p w:rsidR="00A7791A" w:rsidRPr="003A1F05" w:rsidRDefault="00A7791A" w:rsidP="003A1F05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 xml:space="preserve">капітальні інвестиції у </w:t>
            </w:r>
            <w:proofErr w:type="spellStart"/>
            <w:r w:rsidRPr="003A1F05">
              <w:rPr>
                <w:sz w:val="18"/>
                <w:szCs w:val="18"/>
                <w:lang w:val="uk-UA"/>
              </w:rPr>
              <w:t>нематері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>-альні активи</w:t>
            </w:r>
          </w:p>
        </w:tc>
        <w:tc>
          <w:tcPr>
            <w:tcW w:w="374" w:type="pct"/>
            <w:hideMark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збитки минулих років</w:t>
            </w:r>
          </w:p>
        </w:tc>
        <w:tc>
          <w:tcPr>
            <w:tcW w:w="327" w:type="pct"/>
            <w:hideMark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 xml:space="preserve"> власні акції (частки, паї), що викуплені в акціонерів</w:t>
            </w:r>
          </w:p>
        </w:tc>
        <w:tc>
          <w:tcPr>
            <w:tcW w:w="560" w:type="pct"/>
            <w:hideMark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результат (прибуток/</w:t>
            </w:r>
          </w:p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збиток) від операцій з акціонерами, що отримані після 04 червня 2016 року</w:t>
            </w:r>
          </w:p>
        </w:tc>
        <w:tc>
          <w:tcPr>
            <w:tcW w:w="373" w:type="pct"/>
            <w:hideMark/>
          </w:tcPr>
          <w:p w:rsidR="00A7791A" w:rsidRPr="003A1F05" w:rsidRDefault="00A7791A" w:rsidP="00DB30D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розрахун-ковий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 xml:space="preserve"> збиток поточного року (</w:t>
            </w:r>
            <w:proofErr w:type="spellStart"/>
            <w:r w:rsidRPr="003A1F05">
              <w:rPr>
                <w:sz w:val="18"/>
                <w:szCs w:val="18"/>
                <w:lang w:val="uk-UA"/>
              </w:rPr>
              <w:t>Рпр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>/з)</w:t>
            </w:r>
          </w:p>
        </w:tc>
        <w:tc>
          <w:tcPr>
            <w:tcW w:w="561" w:type="pct"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активи з права користування, базовими активами за якими є нематеріальні активи за мінусом суми зносу</w:t>
            </w:r>
          </w:p>
        </w:tc>
        <w:tc>
          <w:tcPr>
            <w:tcW w:w="516" w:type="pct"/>
            <w:hideMark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сума балансової вартості непрофільних активів, на яку зменшується ОК</w:t>
            </w:r>
          </w:p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vMerge/>
            <w:hideMark/>
          </w:tcPr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74" w:type="pct"/>
            <w:vMerge/>
            <w:hideMark/>
          </w:tcPr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vMerge/>
            <w:hideMark/>
          </w:tcPr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vMerge/>
            <w:hideMark/>
          </w:tcPr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</w:tr>
      <w:tr w:rsidR="00A7791A" w:rsidRPr="00AB08DC" w:rsidTr="00722F5E">
        <w:trPr>
          <w:trHeight w:val="284"/>
        </w:trPr>
        <w:tc>
          <w:tcPr>
            <w:tcW w:w="374" w:type="pct"/>
            <w:vAlign w:val="center"/>
            <w:hideMark/>
          </w:tcPr>
          <w:p w:rsidR="00A7791A" w:rsidRPr="003A1F05" w:rsidRDefault="00A7791A" w:rsidP="00376E4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373" w:type="pct"/>
            <w:vAlign w:val="center"/>
            <w:hideMark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374" w:type="pct"/>
            <w:vAlign w:val="center"/>
            <w:hideMark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327" w:type="pct"/>
            <w:vAlign w:val="center"/>
            <w:hideMark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60" w:type="pct"/>
            <w:vAlign w:val="center"/>
            <w:hideMark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73" w:type="pct"/>
            <w:vAlign w:val="center"/>
            <w:hideMark/>
          </w:tcPr>
          <w:p w:rsidR="00A7791A" w:rsidRPr="003A1F05" w:rsidRDefault="00A7791A" w:rsidP="00376E4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61" w:type="pct"/>
            <w:vAlign w:val="center"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516" w:type="pct"/>
            <w:vAlign w:val="center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420" w:type="pct"/>
            <w:vAlign w:val="center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374" w:type="pct"/>
            <w:vAlign w:val="center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421" w:type="pct"/>
            <w:vAlign w:val="center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327" w:type="pct"/>
            <w:vAlign w:val="center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26</w:t>
            </w:r>
          </w:p>
        </w:tc>
      </w:tr>
      <w:tr w:rsidR="00EB2C9A" w:rsidRPr="00AB08DC" w:rsidTr="00092450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9A" w:rsidRPr="00722F5E" w:rsidRDefault="00EB2C9A" w:rsidP="00EB2C9A">
            <w:pPr>
              <w:rPr>
                <w:color w:val="000000"/>
                <w:sz w:val="20"/>
                <w:szCs w:val="20"/>
              </w:rPr>
            </w:pPr>
            <w:r w:rsidRPr="00722F5E">
              <w:rPr>
                <w:color w:val="000000"/>
                <w:sz w:val="20"/>
                <w:szCs w:val="20"/>
              </w:rPr>
              <w:t>2 383 475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9A" w:rsidRPr="00722F5E" w:rsidRDefault="00EB2C9A" w:rsidP="00EB2C9A">
            <w:pPr>
              <w:rPr>
                <w:color w:val="000000"/>
                <w:sz w:val="20"/>
                <w:szCs w:val="20"/>
              </w:rPr>
            </w:pPr>
            <w:r w:rsidRPr="00722F5E">
              <w:rPr>
                <w:color w:val="000000"/>
                <w:sz w:val="20"/>
                <w:szCs w:val="20"/>
              </w:rPr>
              <w:t>71 029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9A" w:rsidRPr="00722F5E" w:rsidRDefault="00EB2C9A" w:rsidP="00EB2C9A">
            <w:pPr>
              <w:rPr>
                <w:color w:val="000000"/>
                <w:sz w:val="20"/>
                <w:szCs w:val="20"/>
              </w:rPr>
            </w:pPr>
            <w:r w:rsidRPr="00722F5E">
              <w:rPr>
                <w:color w:val="000000"/>
                <w:sz w:val="20"/>
                <w:szCs w:val="20"/>
              </w:rPr>
              <w:t>31 409 194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9A" w:rsidRPr="006E1288" w:rsidRDefault="00EB2C9A" w:rsidP="00EB2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9A" w:rsidRPr="006E1288" w:rsidRDefault="00EB2C9A" w:rsidP="00EB2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9A" w:rsidRPr="006E1288" w:rsidRDefault="00EB2C9A" w:rsidP="00EB2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9A" w:rsidRPr="006E1288" w:rsidRDefault="00EB2C9A" w:rsidP="00EB2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9A" w:rsidRPr="00EB2C9A" w:rsidRDefault="00EB2C9A" w:rsidP="00EB2C9A">
            <w:pPr>
              <w:rPr>
                <w:color w:val="000000"/>
                <w:sz w:val="20"/>
                <w:szCs w:val="20"/>
              </w:rPr>
            </w:pPr>
            <w:r w:rsidRPr="00EB2C9A">
              <w:rPr>
                <w:color w:val="000000"/>
                <w:sz w:val="20"/>
                <w:szCs w:val="20"/>
              </w:rPr>
              <w:t>1 334 872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9A" w:rsidRPr="00EB2C9A" w:rsidRDefault="00EB2C9A" w:rsidP="00EB2C9A">
            <w:pPr>
              <w:rPr>
                <w:color w:val="000000"/>
                <w:sz w:val="20"/>
                <w:szCs w:val="20"/>
              </w:rPr>
            </w:pPr>
            <w:r w:rsidRPr="00EB2C9A">
              <w:rPr>
                <w:color w:val="000000"/>
                <w:sz w:val="20"/>
                <w:szCs w:val="20"/>
              </w:rPr>
              <w:t>850 301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9A" w:rsidRPr="00EB2C9A" w:rsidRDefault="00EB2C9A" w:rsidP="00EB2C9A">
            <w:pPr>
              <w:rPr>
                <w:color w:val="000000"/>
                <w:sz w:val="20"/>
                <w:szCs w:val="20"/>
              </w:rPr>
            </w:pPr>
            <w:r w:rsidRPr="00EB2C9A">
              <w:rPr>
                <w:color w:val="000000"/>
                <w:sz w:val="20"/>
                <w:szCs w:val="20"/>
              </w:rPr>
              <w:t>504 533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9A" w:rsidRPr="00EB2C9A" w:rsidRDefault="00EB2C9A" w:rsidP="00EB2C9A">
            <w:pPr>
              <w:rPr>
                <w:color w:val="000000"/>
                <w:sz w:val="20"/>
                <w:szCs w:val="20"/>
              </w:rPr>
            </w:pPr>
            <w:r w:rsidRPr="00EB2C9A">
              <w:rPr>
                <w:color w:val="000000"/>
                <w:sz w:val="20"/>
                <w:szCs w:val="20"/>
              </w:rPr>
              <w:t>6 580 127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9A" w:rsidRPr="00EB2C9A" w:rsidRDefault="00EB2C9A" w:rsidP="00EB2C9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:rsidR="004E3A2F" w:rsidRPr="00AB08DC" w:rsidRDefault="004E3A2F">
      <w:pPr>
        <w:rPr>
          <w:sz w:val="22"/>
          <w:szCs w:val="22"/>
          <w:highlight w:val="lightGray"/>
          <w:lang w:val="uk-UA"/>
        </w:rPr>
      </w:pPr>
    </w:p>
    <w:p w:rsidR="00E42730" w:rsidRPr="00AB08DC" w:rsidRDefault="00E42730">
      <w:pPr>
        <w:rPr>
          <w:sz w:val="22"/>
          <w:szCs w:val="22"/>
          <w:highlight w:val="lightGray"/>
          <w:lang w:val="uk-UA"/>
        </w:rPr>
      </w:pPr>
    </w:p>
    <w:p w:rsidR="007C0F8C" w:rsidRDefault="00B45163">
      <w:pPr>
        <w:pStyle w:val="a3"/>
        <w:jc w:val="right"/>
        <w:rPr>
          <w:sz w:val="22"/>
          <w:szCs w:val="22"/>
          <w:highlight w:val="lightGray"/>
          <w:lang w:val="uk-UA"/>
        </w:rPr>
      </w:pPr>
      <w:r w:rsidRPr="00AB08DC">
        <w:rPr>
          <w:sz w:val="22"/>
          <w:szCs w:val="22"/>
          <w:highlight w:val="lightGray"/>
          <w:lang w:val="uk-UA"/>
        </w:rPr>
        <w:br w:type="textWrapping" w:clear="all"/>
      </w:r>
    </w:p>
    <w:p w:rsidR="007C0F8C" w:rsidRDefault="007C0F8C">
      <w:pPr>
        <w:rPr>
          <w:sz w:val="22"/>
          <w:szCs w:val="22"/>
          <w:highlight w:val="lightGray"/>
          <w:lang w:val="uk-UA"/>
        </w:rPr>
      </w:pPr>
      <w:r>
        <w:rPr>
          <w:sz w:val="22"/>
          <w:szCs w:val="22"/>
          <w:highlight w:val="lightGray"/>
          <w:lang w:val="uk-UA"/>
        </w:rPr>
        <w:br w:type="page"/>
      </w:r>
    </w:p>
    <w:p w:rsidR="00461D8D" w:rsidRPr="00AB08DC" w:rsidRDefault="00461D8D">
      <w:pPr>
        <w:pStyle w:val="a3"/>
        <w:jc w:val="right"/>
        <w:rPr>
          <w:sz w:val="22"/>
          <w:szCs w:val="22"/>
          <w:highlight w:val="lightGray"/>
          <w:lang w:val="uk-UA"/>
        </w:rPr>
      </w:pPr>
    </w:p>
    <w:tbl>
      <w:tblPr>
        <w:tblStyle w:val="a6"/>
        <w:tblW w:w="5201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131"/>
        <w:gridCol w:w="1283"/>
        <w:gridCol w:w="1560"/>
        <w:gridCol w:w="1274"/>
        <w:gridCol w:w="1274"/>
        <w:gridCol w:w="1277"/>
        <w:gridCol w:w="1419"/>
        <w:gridCol w:w="1698"/>
        <w:gridCol w:w="1701"/>
        <w:gridCol w:w="1280"/>
        <w:gridCol w:w="1130"/>
      </w:tblGrid>
      <w:tr w:rsidR="002E14CF" w:rsidRPr="00AB08DC" w:rsidTr="002E14CF">
        <w:trPr>
          <w:trHeight w:val="274"/>
        </w:trPr>
        <w:tc>
          <w:tcPr>
            <w:tcW w:w="5000" w:type="pct"/>
            <w:gridSpan w:val="11"/>
            <w:hideMark/>
          </w:tcPr>
          <w:p w:rsidR="002E14CF" w:rsidRPr="00AB08DC" w:rsidRDefault="002E14C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Регулятивний капітал (РК)</w:t>
            </w:r>
          </w:p>
        </w:tc>
      </w:tr>
      <w:tr w:rsidR="003F1299" w:rsidRPr="00AB08DC" w:rsidTr="003F1299">
        <w:trPr>
          <w:trHeight w:val="274"/>
        </w:trPr>
        <w:tc>
          <w:tcPr>
            <w:tcW w:w="5000" w:type="pct"/>
            <w:gridSpan w:val="11"/>
            <w:hideMark/>
          </w:tcPr>
          <w:p w:rsidR="003F1299" w:rsidRPr="003F1299" w:rsidRDefault="003F12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F1299">
              <w:rPr>
                <w:sz w:val="20"/>
                <w:szCs w:val="20"/>
                <w:lang w:val="uk-UA"/>
              </w:rPr>
              <w:t>до відома</w:t>
            </w:r>
          </w:p>
        </w:tc>
      </w:tr>
      <w:tr w:rsidR="003F1299" w:rsidRPr="006B1CD9" w:rsidTr="00384128">
        <w:trPr>
          <w:trHeight w:val="2831"/>
        </w:trPr>
        <w:tc>
          <w:tcPr>
            <w:tcW w:w="376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результат (прибуток/</w:t>
            </w:r>
          </w:p>
          <w:p w:rsidR="003F1299" w:rsidRPr="002E14CF" w:rsidRDefault="003F1299" w:rsidP="005833B9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збиток) поточного року (5999)</w:t>
            </w:r>
          </w:p>
        </w:tc>
        <w:tc>
          <w:tcPr>
            <w:tcW w:w="427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результати звітного року, що очікують затвердження (504АП)</w:t>
            </w:r>
          </w:p>
        </w:tc>
        <w:tc>
          <w:tcPr>
            <w:tcW w:w="519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результат (прибуток/</w:t>
            </w:r>
          </w:p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збиток) від операцій з акціонерами, що отриманий до 04 червня 2016 року</w:t>
            </w:r>
          </w:p>
        </w:tc>
        <w:tc>
          <w:tcPr>
            <w:tcW w:w="424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результат коригування вартості фінансових інструментів під час первісного визнання</w:t>
            </w:r>
          </w:p>
        </w:tc>
        <w:tc>
          <w:tcPr>
            <w:tcW w:w="424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непокритий кредитний ризик (НКР)</w:t>
            </w:r>
          </w:p>
        </w:tc>
        <w:tc>
          <w:tcPr>
            <w:tcW w:w="425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прибуток минулих років (5030П)</w:t>
            </w:r>
          </w:p>
        </w:tc>
        <w:tc>
          <w:tcPr>
            <w:tcW w:w="472" w:type="pct"/>
            <w:hideMark/>
          </w:tcPr>
          <w:p w:rsidR="003F1299" w:rsidRPr="002E14CF" w:rsidRDefault="003F1299" w:rsidP="003F129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перевищення непокритого кредитного ризику над сумою за рахунком 5030 </w:t>
            </w:r>
            <w:r w:rsidRPr="002E14CF">
              <w:rPr>
                <w:sz w:val="16"/>
                <w:szCs w:val="16"/>
                <w:lang w:val="uk-UA"/>
              </w:rPr>
              <w:br/>
              <w:t>(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НКРп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565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нараховані доходи, що обліковуються за даними аналітичного обліку відповідно до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файла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С5, не отримані понад 30 днів з дати їх нарахування, строк погашення яких не минув (крім н/д за активами, уключеними до показника В) (Нд/3 )</w:t>
            </w:r>
          </w:p>
        </w:tc>
        <w:tc>
          <w:tcPr>
            <w:tcW w:w="566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нараховані доходи, строк сплати яких згідно з договором минув (крім нарахованих доходів за активами, уключеними до показника В) (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Пнд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)</w:t>
            </w:r>
          </w:p>
        </w:tc>
        <w:tc>
          <w:tcPr>
            <w:tcW w:w="426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фактично сформована сума резерву за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нараховани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-ми доходами Нд/3 та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Пнд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Рпс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376" w:type="pct"/>
          </w:tcPr>
          <w:p w:rsidR="003F1299" w:rsidRPr="002E14CF" w:rsidRDefault="003F1299" w:rsidP="003F129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нараховані доходи, які визнані банком під час придбання ОВДП,</w:t>
            </w:r>
          </w:p>
          <w:p w:rsidR="003F1299" w:rsidRPr="002E14CF" w:rsidRDefault="003F1299" w:rsidP="003F129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що емітовані в іноземній валюті (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Ннд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>)</w:t>
            </w:r>
          </w:p>
        </w:tc>
      </w:tr>
      <w:tr w:rsidR="003F1299" w:rsidRPr="00AB08DC" w:rsidTr="00384128">
        <w:trPr>
          <w:trHeight w:val="274"/>
        </w:trPr>
        <w:tc>
          <w:tcPr>
            <w:tcW w:w="376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427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519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424" w:type="pct"/>
            <w:hideMark/>
          </w:tcPr>
          <w:p w:rsidR="003F1299" w:rsidRPr="003F1299" w:rsidRDefault="003F1299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4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425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472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565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566" w:type="pct"/>
            <w:hideMark/>
          </w:tcPr>
          <w:p w:rsidR="003F1299" w:rsidRPr="003F1299" w:rsidRDefault="003F1299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426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376" w:type="pct"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BB4636" w:rsidRPr="00AB08DC" w:rsidTr="00E424D5">
        <w:trPr>
          <w:trHeight w:val="27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36" w:rsidRPr="00BB4636" w:rsidRDefault="00BB4636" w:rsidP="00BB4636">
            <w:pPr>
              <w:jc w:val="center"/>
              <w:rPr>
                <w:sz w:val="20"/>
                <w:szCs w:val="20"/>
              </w:rPr>
            </w:pPr>
            <w:r w:rsidRPr="00BB4636">
              <w:rPr>
                <w:sz w:val="20"/>
                <w:szCs w:val="20"/>
              </w:rPr>
              <w:t>1 414 236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36" w:rsidRPr="00BB4636" w:rsidRDefault="00BB4636" w:rsidP="00BB4636">
            <w:pPr>
              <w:jc w:val="center"/>
              <w:rPr>
                <w:sz w:val="20"/>
                <w:szCs w:val="20"/>
              </w:rPr>
            </w:pPr>
            <w:r w:rsidRPr="00BB4636">
              <w:rPr>
                <w:sz w:val="20"/>
                <w:szCs w:val="20"/>
              </w:rPr>
              <w:t>4 547 725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6" w:rsidRPr="00B321F6" w:rsidRDefault="00BB4636" w:rsidP="00BB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6" w:rsidRPr="00B321F6" w:rsidRDefault="00BB4636" w:rsidP="00BB4636">
            <w:pPr>
              <w:jc w:val="center"/>
              <w:rPr>
                <w:sz w:val="20"/>
                <w:szCs w:val="20"/>
              </w:rPr>
            </w:pPr>
            <w:r w:rsidRPr="00BB4636">
              <w:rPr>
                <w:sz w:val="20"/>
                <w:szCs w:val="20"/>
              </w:rPr>
              <w:t>681</w:t>
            </w:r>
            <w:r w:rsidRPr="00BB4636">
              <w:rPr>
                <w:sz w:val="20"/>
                <w:szCs w:val="20"/>
              </w:rPr>
              <w:t> </w:t>
            </w:r>
            <w:r w:rsidRPr="00BB4636">
              <w:rPr>
                <w:sz w:val="20"/>
                <w:szCs w:val="20"/>
              </w:rPr>
              <w:t>493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6" w:rsidRPr="00B321F6" w:rsidRDefault="00BB4636" w:rsidP="00BB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6" w:rsidRPr="00B321F6" w:rsidRDefault="00BB4636" w:rsidP="00BB4636">
            <w:pPr>
              <w:jc w:val="center"/>
              <w:rPr>
                <w:sz w:val="20"/>
                <w:szCs w:val="20"/>
              </w:rPr>
            </w:pPr>
            <w:r w:rsidRPr="00BB4636">
              <w:rPr>
                <w:sz w:val="20"/>
                <w:szCs w:val="20"/>
              </w:rPr>
              <w:t>504 533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6" w:rsidRPr="00B321F6" w:rsidRDefault="00BB4636" w:rsidP="00BB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6" w:rsidRPr="00B321F6" w:rsidRDefault="00BB4636" w:rsidP="00BB4636">
            <w:pPr>
              <w:jc w:val="center"/>
              <w:rPr>
                <w:sz w:val="20"/>
                <w:szCs w:val="20"/>
              </w:rPr>
            </w:pPr>
            <w:r w:rsidRPr="00BB4636">
              <w:rPr>
                <w:sz w:val="20"/>
                <w:szCs w:val="20"/>
              </w:rPr>
              <w:t>14 126 626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36" w:rsidRPr="00BB4636" w:rsidRDefault="00BB4636" w:rsidP="00BB4636">
            <w:pPr>
              <w:jc w:val="center"/>
              <w:rPr>
                <w:sz w:val="20"/>
                <w:szCs w:val="20"/>
              </w:rPr>
            </w:pPr>
            <w:r w:rsidRPr="00BB4636">
              <w:rPr>
                <w:sz w:val="20"/>
                <w:szCs w:val="20"/>
              </w:rPr>
              <w:t>3 841 266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36" w:rsidRPr="00BB4636" w:rsidRDefault="00BB4636" w:rsidP="00BB4636">
            <w:pPr>
              <w:jc w:val="center"/>
              <w:rPr>
                <w:sz w:val="20"/>
                <w:szCs w:val="20"/>
              </w:rPr>
            </w:pPr>
            <w:r w:rsidRPr="00BB4636">
              <w:rPr>
                <w:sz w:val="20"/>
                <w:szCs w:val="20"/>
              </w:rPr>
              <w:t>17 886 820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36" w:rsidRPr="00BB4636" w:rsidRDefault="00BB4636" w:rsidP="00BB4636">
            <w:pPr>
              <w:jc w:val="center"/>
              <w:rPr>
                <w:sz w:val="20"/>
                <w:szCs w:val="20"/>
              </w:rPr>
            </w:pPr>
            <w:r w:rsidRPr="00BB4636">
              <w:rPr>
                <w:sz w:val="20"/>
                <w:szCs w:val="20"/>
              </w:rPr>
              <w:t>17 745</w:t>
            </w:r>
          </w:p>
        </w:tc>
      </w:tr>
    </w:tbl>
    <w:p w:rsidR="003555BD" w:rsidRPr="00AB08DC" w:rsidRDefault="003555BD">
      <w:pPr>
        <w:pStyle w:val="a3"/>
        <w:jc w:val="right"/>
        <w:rPr>
          <w:sz w:val="22"/>
          <w:szCs w:val="22"/>
          <w:highlight w:val="lightGray"/>
          <w:lang w:val="uk-UA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226"/>
        <w:gridCol w:w="1005"/>
        <w:gridCol w:w="1005"/>
        <w:gridCol w:w="1008"/>
        <w:gridCol w:w="1453"/>
        <w:gridCol w:w="1453"/>
        <w:gridCol w:w="1338"/>
        <w:gridCol w:w="1560"/>
        <w:gridCol w:w="1468"/>
        <w:gridCol w:w="1468"/>
        <w:gridCol w:w="1462"/>
      </w:tblGrid>
      <w:tr w:rsidR="002E14CF" w:rsidRPr="006B1CD9" w:rsidTr="002E14CF">
        <w:tc>
          <w:tcPr>
            <w:tcW w:w="3986" w:type="pct"/>
            <w:gridSpan w:val="9"/>
            <w:hideMark/>
          </w:tcPr>
          <w:p w:rsidR="002E14CF" w:rsidRPr="007C0F8C" w:rsidRDefault="002E14C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Регулятивний капітал (РК)</w:t>
            </w:r>
          </w:p>
        </w:tc>
        <w:tc>
          <w:tcPr>
            <w:tcW w:w="1014" w:type="pct"/>
            <w:gridSpan w:val="2"/>
            <w:vMerge w:val="restart"/>
          </w:tcPr>
          <w:p w:rsidR="002E14CF" w:rsidRPr="007C0F8C" w:rsidRDefault="002E14C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Норматив достатності (адекватності) регулятивного капіталу (Н2) та достатності основного капіталу (Н3)</w:t>
            </w:r>
          </w:p>
        </w:tc>
      </w:tr>
      <w:tr w:rsidR="002E14CF" w:rsidRPr="007C0F8C" w:rsidTr="002E14CF">
        <w:tc>
          <w:tcPr>
            <w:tcW w:w="3986" w:type="pct"/>
            <w:gridSpan w:val="9"/>
            <w:hideMark/>
          </w:tcPr>
          <w:p w:rsidR="002E14CF" w:rsidRPr="007C0F8C" w:rsidRDefault="002E14C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відвернення (В)</w:t>
            </w:r>
          </w:p>
        </w:tc>
        <w:tc>
          <w:tcPr>
            <w:tcW w:w="1014" w:type="pct"/>
            <w:gridSpan w:val="2"/>
            <w:vMerge/>
          </w:tcPr>
          <w:p w:rsidR="002E14CF" w:rsidRPr="007C0F8C" w:rsidRDefault="002E14C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E14CF" w:rsidRPr="00F20F88" w:rsidTr="002E14CF">
        <w:tc>
          <w:tcPr>
            <w:tcW w:w="424" w:type="pct"/>
            <w:hideMark/>
          </w:tcPr>
          <w:p w:rsidR="002E14CF" w:rsidRPr="002E14CF" w:rsidRDefault="002E14CF" w:rsidP="00F9218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 балансова вартість акцій та інших цінних паперів з нефіксованим прибутком, що випущені банками та обліковуються за справедливою вартістю</w:t>
            </w:r>
          </w:p>
        </w:tc>
        <w:tc>
          <w:tcPr>
            <w:tcW w:w="348" w:type="pct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балансова вартість інвестицій в асоційовані та дочірні компанії</w:t>
            </w:r>
          </w:p>
        </w:tc>
        <w:tc>
          <w:tcPr>
            <w:tcW w:w="348" w:type="pct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балансова вартість вкладень у капітал інших установ у розмірі 10 і більше відсотків їх статутного капіталу</w:t>
            </w:r>
          </w:p>
        </w:tc>
        <w:tc>
          <w:tcPr>
            <w:tcW w:w="349" w:type="pct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балансова вартість акцій (паїв) власної емісії, що прийняті в забезпечення наданих банком кредитів (інших вкладень)</w:t>
            </w:r>
          </w:p>
        </w:tc>
        <w:tc>
          <w:tcPr>
            <w:tcW w:w="503" w:type="pct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балансова вартість вкладень в інші банки на умовах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субординованого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боргу</w:t>
            </w:r>
          </w:p>
        </w:tc>
        <w:tc>
          <w:tcPr>
            <w:tcW w:w="503" w:type="pct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балансова вартість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позалістингових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цінних паперів (крім цінних паперів, емітованих центральними органами виконавчої влади України, Національним банком України та Державною іпотечною установою та органами місцевого самоврядування), які обліковуються за справедливою вартістю</w:t>
            </w:r>
          </w:p>
        </w:tc>
        <w:tc>
          <w:tcPr>
            <w:tcW w:w="463" w:type="pct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  балансова вартість цінних паперів, що не перебувають в обігу на фондових біржах (у тому числі торгівля яких на фондових біржах заборонена законодавством України), та які обліковуються за справедливою вартістю</w:t>
            </w:r>
          </w:p>
        </w:tc>
        <w:tc>
          <w:tcPr>
            <w:tcW w:w="540" w:type="pct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балансова вартість цінних паперів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недиверсифікова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>-них інвестиційних фондів</w:t>
            </w:r>
          </w:p>
        </w:tc>
        <w:tc>
          <w:tcPr>
            <w:tcW w:w="508" w:type="pct"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розмір перевищення сукупної суми всіх вимог банку до пов'язаних з банком осіб та суми всіх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фін.зобов'язань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, наданих банком щодо пов'язаних з банком осіб, над сумою, що становить 25 % (20 % – для спеціалізованих банків)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заг.розміру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ОК та ДК</w:t>
            </w:r>
          </w:p>
        </w:tc>
        <w:tc>
          <w:tcPr>
            <w:tcW w:w="508" w:type="pct"/>
          </w:tcPr>
          <w:p w:rsidR="002E14CF" w:rsidRPr="007C0F8C" w:rsidRDefault="002E14CF" w:rsidP="002E14CF">
            <w:pPr>
              <w:jc w:val="center"/>
              <w:rPr>
                <w:sz w:val="18"/>
                <w:szCs w:val="18"/>
                <w:lang w:val="uk-UA"/>
              </w:rPr>
            </w:pPr>
            <w:r w:rsidRPr="00622CCF">
              <w:rPr>
                <w:sz w:val="16"/>
                <w:szCs w:val="16"/>
                <w:lang w:val="uk-UA"/>
              </w:rPr>
              <w:t>факт</w:t>
            </w:r>
            <w:proofErr w:type="spellStart"/>
            <w:r>
              <w:rPr>
                <w:sz w:val="16"/>
                <w:szCs w:val="16"/>
              </w:rPr>
              <w:t>ичне</w:t>
            </w:r>
            <w:proofErr w:type="spellEnd"/>
            <w:r w:rsidRPr="00622CCF">
              <w:rPr>
                <w:sz w:val="16"/>
                <w:szCs w:val="16"/>
                <w:lang w:val="uk-UA"/>
              </w:rPr>
              <w:t xml:space="preserve"> знач</w:t>
            </w:r>
            <w:proofErr w:type="spellStart"/>
            <w:r>
              <w:rPr>
                <w:sz w:val="16"/>
                <w:szCs w:val="16"/>
              </w:rPr>
              <w:t>ення</w:t>
            </w:r>
            <w:proofErr w:type="spellEnd"/>
            <w:r w:rsidRPr="00622CCF">
              <w:rPr>
                <w:sz w:val="16"/>
                <w:szCs w:val="16"/>
                <w:lang w:val="uk-UA"/>
              </w:rPr>
              <w:t xml:space="preserve"> нормативу Н2</w:t>
            </w:r>
          </w:p>
        </w:tc>
        <w:tc>
          <w:tcPr>
            <w:tcW w:w="506" w:type="pct"/>
          </w:tcPr>
          <w:p w:rsidR="002E14CF" w:rsidRPr="007C0F8C" w:rsidRDefault="002E14CF" w:rsidP="002E14CF">
            <w:pPr>
              <w:jc w:val="center"/>
              <w:rPr>
                <w:sz w:val="18"/>
                <w:szCs w:val="18"/>
                <w:lang w:val="uk-UA"/>
              </w:rPr>
            </w:pPr>
            <w:r w:rsidRPr="00622CCF">
              <w:rPr>
                <w:sz w:val="16"/>
                <w:szCs w:val="16"/>
                <w:lang w:val="uk-UA"/>
              </w:rPr>
              <w:t>факт</w:t>
            </w:r>
            <w:proofErr w:type="spellStart"/>
            <w:r>
              <w:rPr>
                <w:sz w:val="16"/>
                <w:szCs w:val="16"/>
              </w:rPr>
              <w:t>ичне</w:t>
            </w:r>
            <w:proofErr w:type="spellEnd"/>
            <w:r w:rsidRPr="00622CCF">
              <w:rPr>
                <w:sz w:val="16"/>
                <w:szCs w:val="16"/>
                <w:lang w:val="uk-UA"/>
              </w:rPr>
              <w:t xml:space="preserve"> знач</w:t>
            </w:r>
            <w:proofErr w:type="spellStart"/>
            <w:r>
              <w:rPr>
                <w:sz w:val="16"/>
                <w:szCs w:val="16"/>
              </w:rPr>
              <w:t>ення</w:t>
            </w:r>
            <w:proofErr w:type="spellEnd"/>
            <w:r w:rsidRPr="00622CCF">
              <w:rPr>
                <w:sz w:val="16"/>
                <w:szCs w:val="16"/>
                <w:lang w:val="uk-UA"/>
              </w:rPr>
              <w:t xml:space="preserve"> нормативу Н3</w:t>
            </w:r>
          </w:p>
        </w:tc>
      </w:tr>
      <w:tr w:rsidR="002E14CF" w:rsidRPr="007C0F8C" w:rsidTr="002E14CF">
        <w:tc>
          <w:tcPr>
            <w:tcW w:w="424" w:type="pct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48" w:type="pct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48" w:type="pct"/>
            <w:hideMark/>
          </w:tcPr>
          <w:p w:rsidR="002E14CF" w:rsidRPr="007C0F8C" w:rsidRDefault="002E14CF" w:rsidP="0026158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49" w:type="pct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03" w:type="pct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03" w:type="pct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63" w:type="pct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pct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08" w:type="pct"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08" w:type="pct"/>
          </w:tcPr>
          <w:p w:rsidR="002E14CF" w:rsidRPr="002E14CF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06" w:type="pct"/>
          </w:tcPr>
          <w:p w:rsidR="002E14CF" w:rsidRPr="002E14CF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812C39" w:rsidRPr="007C0F8C" w:rsidTr="0086148A">
        <w:trPr>
          <w:trHeight w:val="28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39" w:rsidRPr="00B321F6" w:rsidRDefault="00812C39" w:rsidP="00812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39" w:rsidRDefault="00812C39" w:rsidP="00812C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24 800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39" w:rsidRDefault="00812C39" w:rsidP="00812C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24 493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39" w:rsidRPr="00B321F6" w:rsidRDefault="00812C39" w:rsidP="00812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39" w:rsidRPr="00B321F6" w:rsidRDefault="00812C39" w:rsidP="00812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39" w:rsidRPr="00812C39" w:rsidRDefault="00812C39" w:rsidP="00812C39">
            <w:pPr>
              <w:jc w:val="center"/>
              <w:rPr>
                <w:sz w:val="20"/>
                <w:szCs w:val="20"/>
                <w:lang w:val="uk-UA"/>
              </w:rPr>
            </w:pPr>
            <w:r w:rsidRPr="00B321F6">
              <w:rPr>
                <w:sz w:val="20"/>
                <w:szCs w:val="20"/>
              </w:rPr>
              <w:t>4 1</w:t>
            </w:r>
            <w:r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39" w:rsidRPr="00B321F6" w:rsidRDefault="00812C39" w:rsidP="00812C39">
            <w:pPr>
              <w:jc w:val="center"/>
              <w:rPr>
                <w:sz w:val="20"/>
                <w:szCs w:val="20"/>
              </w:rPr>
            </w:pPr>
            <w:r w:rsidRPr="00B321F6">
              <w:rPr>
                <w:sz w:val="20"/>
                <w:szCs w:val="20"/>
              </w:rPr>
              <w:t>20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39" w:rsidRPr="00B321F6" w:rsidRDefault="00812C39" w:rsidP="00812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39" w:rsidRPr="00B321F6" w:rsidRDefault="00812C39" w:rsidP="00812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39" w:rsidRPr="00812C39" w:rsidRDefault="00812C39" w:rsidP="00812C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Pr="00572E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39" w:rsidRPr="00812C39" w:rsidRDefault="00812C39" w:rsidP="00812C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9</w:t>
            </w:r>
            <w:r w:rsidRPr="00572E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>00</w:t>
            </w:r>
          </w:p>
        </w:tc>
      </w:tr>
    </w:tbl>
    <w:p w:rsidR="00461D8D" w:rsidRPr="003004D3" w:rsidRDefault="00461D8D">
      <w:pPr>
        <w:pStyle w:val="a3"/>
        <w:jc w:val="right"/>
        <w:rPr>
          <w:sz w:val="22"/>
          <w:szCs w:val="22"/>
          <w:highlight w:val="lightGray"/>
        </w:rPr>
      </w:pPr>
    </w:p>
    <w:tbl>
      <w:tblPr>
        <w:tblStyle w:val="a6"/>
        <w:tblW w:w="53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131"/>
        <w:gridCol w:w="1278"/>
        <w:gridCol w:w="711"/>
        <w:gridCol w:w="1276"/>
        <w:gridCol w:w="992"/>
        <w:gridCol w:w="851"/>
        <w:gridCol w:w="1132"/>
        <w:gridCol w:w="568"/>
        <w:gridCol w:w="1135"/>
        <w:gridCol w:w="1132"/>
        <w:gridCol w:w="1276"/>
        <w:gridCol w:w="1419"/>
        <w:gridCol w:w="992"/>
        <w:gridCol w:w="1700"/>
      </w:tblGrid>
      <w:tr w:rsidR="005B00D8" w:rsidRPr="006B1CD9" w:rsidTr="005B00D8">
        <w:trPr>
          <w:trHeight w:val="170"/>
        </w:trPr>
        <w:tc>
          <w:tcPr>
            <w:tcW w:w="5000" w:type="pct"/>
            <w:gridSpan w:val="14"/>
          </w:tcPr>
          <w:p w:rsidR="005B00D8" w:rsidRPr="002E1A0C" w:rsidRDefault="005B00D8" w:rsidP="00F9218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282CAF">
              <w:rPr>
                <w:sz w:val="16"/>
                <w:szCs w:val="16"/>
                <w:lang w:val="uk-UA"/>
              </w:rPr>
              <w:t>Норматив достатності (адекватності) регулятивного капіталу (Н2) та достатності основного капіталу (Н3)</w:t>
            </w:r>
          </w:p>
        </w:tc>
      </w:tr>
      <w:tr w:rsidR="00D4570E" w:rsidRPr="006B1CD9" w:rsidTr="00D42883">
        <w:trPr>
          <w:trHeight w:val="547"/>
        </w:trPr>
        <w:tc>
          <w:tcPr>
            <w:tcW w:w="363" w:type="pct"/>
            <w:vMerge w:val="restart"/>
            <w:hideMark/>
          </w:tcPr>
          <w:p w:rsidR="00D4570E" w:rsidRPr="00622CCF" w:rsidRDefault="00D4570E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622CCF">
              <w:rPr>
                <w:sz w:val="16"/>
                <w:szCs w:val="16"/>
                <w:lang w:val="uk-UA"/>
              </w:rPr>
              <w:t>сумарні активи, зменшені на суму створених відповідних резервів за активними операціями, зважені на відповідний коефіцієнт ризику залежно від групи ризику (Ар)</w:t>
            </w:r>
          </w:p>
        </w:tc>
        <w:tc>
          <w:tcPr>
            <w:tcW w:w="3319" w:type="pct"/>
            <w:gridSpan w:val="10"/>
          </w:tcPr>
          <w:p w:rsidR="00D4570E" w:rsidRPr="00C02695" w:rsidRDefault="00D4570E" w:rsidP="0050568F">
            <w:pPr>
              <w:pStyle w:val="a3"/>
              <w:ind w:right="62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активи, зменшені на суму відповідних резервів/уцінки та суму забезпечення, без зважування на коефіцієнт ризику</w:t>
            </w:r>
          </w:p>
        </w:tc>
        <w:tc>
          <w:tcPr>
            <w:tcW w:w="455" w:type="pct"/>
            <w:vMerge w:val="restart"/>
            <w:hideMark/>
          </w:tcPr>
          <w:p w:rsidR="00D4570E" w:rsidRPr="00C02695" w:rsidRDefault="00D4570E" w:rsidP="0050568F">
            <w:pPr>
              <w:pStyle w:val="a3"/>
              <w:ind w:right="62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сукупна сума відкритої валютної позиції за всіма ін. валютами та банк. металами (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Свп</w:t>
            </w:r>
            <w:proofErr w:type="spellEnd"/>
            <w:r w:rsidRPr="00C02695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318" w:type="pct"/>
            <w:vMerge w:val="restart"/>
            <w:hideMark/>
          </w:tcPr>
          <w:p w:rsidR="00D4570E" w:rsidRPr="00C02695" w:rsidRDefault="00D4570E" w:rsidP="00F9218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величина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непокри</w:t>
            </w:r>
            <w:proofErr w:type="spellEnd"/>
            <w:r w:rsidRPr="00C02695">
              <w:rPr>
                <w:sz w:val="16"/>
                <w:szCs w:val="16"/>
                <w:lang w:val="uk-UA"/>
              </w:rPr>
              <w:t>-того кредит-ного ризику (НКР)</w:t>
            </w:r>
          </w:p>
        </w:tc>
        <w:tc>
          <w:tcPr>
            <w:tcW w:w="545" w:type="pct"/>
            <w:vMerge w:val="restart"/>
          </w:tcPr>
          <w:p w:rsidR="00D4570E" w:rsidRPr="00C02695" w:rsidRDefault="00E34DEC" w:rsidP="00F9218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E34DEC">
              <w:rPr>
                <w:sz w:val="16"/>
                <w:szCs w:val="16"/>
                <w:lang w:val="uk-UA"/>
              </w:rPr>
              <w:t>Мінімальний розмір операційного ризику (ОР)***, помножений на коефіцієнт 10, із застосуванням таких коефіцієнтів: до 30 грудня 2021 року (включно) - 0; із 31 грудня 2021 -  0,5, із 29 грудня 2023 року -1</w:t>
            </w:r>
          </w:p>
        </w:tc>
      </w:tr>
      <w:tr w:rsidR="00D4570E" w:rsidRPr="001F7BD3" w:rsidTr="00D42883">
        <w:trPr>
          <w:trHeight w:val="275"/>
        </w:trPr>
        <w:tc>
          <w:tcPr>
            <w:tcW w:w="363" w:type="pct"/>
            <w:vMerge/>
          </w:tcPr>
          <w:p w:rsidR="00D4570E" w:rsidRPr="00AB08DC" w:rsidRDefault="00D4570E" w:rsidP="00A55C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10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І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0%), сума</w:t>
            </w:r>
          </w:p>
        </w:tc>
        <w:tc>
          <w:tcPr>
            <w:tcW w:w="228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ІІ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10%), сума</w:t>
            </w:r>
          </w:p>
        </w:tc>
        <w:tc>
          <w:tcPr>
            <w:tcW w:w="409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ІІІ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20%), сума</w:t>
            </w:r>
          </w:p>
        </w:tc>
        <w:tc>
          <w:tcPr>
            <w:tcW w:w="318" w:type="pct"/>
            <w:vMerge w:val="restart"/>
          </w:tcPr>
          <w:p w:rsidR="00D4570E" w:rsidRPr="00C02695" w:rsidRDefault="00D4570E" w:rsidP="00901B7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IV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30%), сума</w:t>
            </w:r>
          </w:p>
        </w:tc>
        <w:tc>
          <w:tcPr>
            <w:tcW w:w="273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V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35%), сума</w:t>
            </w:r>
          </w:p>
        </w:tc>
        <w:tc>
          <w:tcPr>
            <w:tcW w:w="363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VI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50%), сума</w:t>
            </w:r>
          </w:p>
        </w:tc>
        <w:tc>
          <w:tcPr>
            <w:tcW w:w="182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VII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75%), сума</w:t>
            </w:r>
          </w:p>
        </w:tc>
        <w:tc>
          <w:tcPr>
            <w:tcW w:w="1136" w:type="pct"/>
            <w:gridSpan w:val="3"/>
          </w:tcPr>
          <w:p w:rsidR="00D4570E" w:rsidRPr="00C02695" w:rsidRDefault="00D4570E" w:rsidP="00A55CA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>VIII група</w:t>
            </w:r>
          </w:p>
        </w:tc>
        <w:tc>
          <w:tcPr>
            <w:tcW w:w="455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45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</w:tr>
      <w:tr w:rsidR="00D4570E" w:rsidRPr="006B1CD9" w:rsidTr="00D42883">
        <w:trPr>
          <w:trHeight w:val="1389"/>
        </w:trPr>
        <w:tc>
          <w:tcPr>
            <w:tcW w:w="363" w:type="pct"/>
            <w:vMerge/>
          </w:tcPr>
          <w:p w:rsidR="00D4570E" w:rsidRPr="00AB08DC" w:rsidRDefault="00D4570E" w:rsidP="00A55C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10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8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9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vMerge/>
          </w:tcPr>
          <w:p w:rsidR="00D4570E" w:rsidRPr="00C02695" w:rsidRDefault="00D4570E" w:rsidP="00901B7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73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2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4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єнтом</w:t>
            </w:r>
            <w:proofErr w:type="spellEnd"/>
            <w:r w:rsidRPr="00C02695">
              <w:rPr>
                <w:sz w:val="16"/>
                <w:szCs w:val="16"/>
                <w:lang w:val="uk-UA"/>
              </w:rPr>
              <w:t xml:space="preserve"> ризику 100%, сума</w:t>
            </w:r>
          </w:p>
        </w:tc>
        <w:tc>
          <w:tcPr>
            <w:tcW w:w="772" w:type="pct"/>
            <w:gridSpan w:val="2"/>
          </w:tcPr>
          <w:p w:rsidR="00D4570E" w:rsidRPr="00C02695" w:rsidRDefault="00D4570E" w:rsidP="00A55CA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>боргові цінні папери, емітовані в іноземній валюті центральними органами виконавчої влади України/місцевого самоврядування України, сума</w:t>
            </w:r>
          </w:p>
        </w:tc>
        <w:tc>
          <w:tcPr>
            <w:tcW w:w="455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45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</w:tr>
      <w:tr w:rsidR="00D42883" w:rsidRPr="006B1CD9" w:rsidTr="00D42883">
        <w:trPr>
          <w:trHeight w:val="1956"/>
        </w:trPr>
        <w:tc>
          <w:tcPr>
            <w:tcW w:w="363" w:type="pct"/>
            <w:vMerge/>
            <w:hideMark/>
          </w:tcPr>
          <w:p w:rsidR="00D4570E" w:rsidRPr="00AB08DC" w:rsidRDefault="00D4570E" w:rsidP="00A55C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10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8" w:type="pct"/>
            <w:vMerge/>
            <w:hideMark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9" w:type="pct"/>
            <w:vMerge/>
            <w:hideMark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vMerge/>
          </w:tcPr>
          <w:p w:rsidR="00D4570E" w:rsidRPr="00C02695" w:rsidRDefault="00D4570E" w:rsidP="00901B7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73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2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4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3" w:type="pct"/>
          </w:tcPr>
          <w:p w:rsidR="00D4570E" w:rsidRPr="00C02695" w:rsidRDefault="00D4570E" w:rsidP="00663BA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>придбані/</w:t>
            </w:r>
          </w:p>
          <w:p w:rsidR="00D4570E" w:rsidRPr="00C02695" w:rsidRDefault="00D4570E" w:rsidP="00CD46E3">
            <w:pPr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 xml:space="preserve">набуті у власність до 31 березня 2021 року включно з </w:t>
            </w:r>
            <w:proofErr w:type="spellStart"/>
            <w:r w:rsidRPr="00C02695">
              <w:rPr>
                <w:color w:val="000000"/>
                <w:sz w:val="16"/>
                <w:szCs w:val="16"/>
                <w:lang w:val="uk-UA"/>
              </w:rPr>
              <w:t>коефіціє-нтом</w:t>
            </w:r>
            <w:proofErr w:type="spellEnd"/>
            <w:r w:rsidRPr="00C02695">
              <w:rPr>
                <w:color w:val="000000"/>
                <w:sz w:val="16"/>
                <w:szCs w:val="16"/>
                <w:lang w:val="uk-UA"/>
              </w:rPr>
              <w:t xml:space="preserve"> ризику X*, сума</w:t>
            </w:r>
          </w:p>
        </w:tc>
        <w:tc>
          <w:tcPr>
            <w:tcW w:w="409" w:type="pc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 xml:space="preserve">придбані/набуті у власність після 31 березня 2021 року з </w:t>
            </w:r>
            <w:proofErr w:type="spellStart"/>
            <w:r w:rsidRPr="00C02695">
              <w:rPr>
                <w:color w:val="000000"/>
                <w:sz w:val="16"/>
                <w:szCs w:val="16"/>
                <w:lang w:val="uk-UA"/>
              </w:rPr>
              <w:t>коефіціє-нтом</w:t>
            </w:r>
            <w:proofErr w:type="spellEnd"/>
            <w:r w:rsidRPr="00C02695">
              <w:rPr>
                <w:color w:val="000000"/>
                <w:sz w:val="16"/>
                <w:szCs w:val="16"/>
                <w:lang w:val="uk-UA"/>
              </w:rPr>
              <w:t xml:space="preserve"> ризику Х1**, сума</w:t>
            </w:r>
          </w:p>
        </w:tc>
        <w:tc>
          <w:tcPr>
            <w:tcW w:w="455" w:type="pct"/>
            <w:vMerge/>
            <w:hideMark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vMerge/>
            <w:hideMark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45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</w:tr>
      <w:tr w:rsidR="00D42883" w:rsidRPr="00AB08DC" w:rsidTr="00D42883">
        <w:trPr>
          <w:trHeight w:val="285"/>
        </w:trPr>
        <w:tc>
          <w:tcPr>
            <w:tcW w:w="363" w:type="pct"/>
            <w:hideMark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4</w:t>
            </w:r>
            <w:r w:rsidRPr="00BA363D">
              <w:rPr>
                <w:sz w:val="16"/>
                <w:szCs w:val="16"/>
              </w:rPr>
              <w:t>9</w:t>
            </w:r>
          </w:p>
        </w:tc>
        <w:tc>
          <w:tcPr>
            <w:tcW w:w="410" w:type="pct"/>
          </w:tcPr>
          <w:p w:rsidR="005B00D8" w:rsidRPr="00BA363D" w:rsidRDefault="005B00D8" w:rsidP="00A55CA2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</w:rPr>
              <w:t>50</w:t>
            </w:r>
          </w:p>
        </w:tc>
        <w:tc>
          <w:tcPr>
            <w:tcW w:w="228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1</w:t>
            </w:r>
          </w:p>
        </w:tc>
        <w:tc>
          <w:tcPr>
            <w:tcW w:w="409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2</w:t>
            </w:r>
          </w:p>
        </w:tc>
        <w:tc>
          <w:tcPr>
            <w:tcW w:w="318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3</w:t>
            </w:r>
          </w:p>
        </w:tc>
        <w:tc>
          <w:tcPr>
            <w:tcW w:w="273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4</w:t>
            </w:r>
          </w:p>
        </w:tc>
        <w:tc>
          <w:tcPr>
            <w:tcW w:w="363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5</w:t>
            </w:r>
          </w:p>
        </w:tc>
        <w:tc>
          <w:tcPr>
            <w:tcW w:w="182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6</w:t>
            </w:r>
          </w:p>
        </w:tc>
        <w:tc>
          <w:tcPr>
            <w:tcW w:w="364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7</w:t>
            </w:r>
          </w:p>
        </w:tc>
        <w:tc>
          <w:tcPr>
            <w:tcW w:w="363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8</w:t>
            </w:r>
          </w:p>
        </w:tc>
        <w:tc>
          <w:tcPr>
            <w:tcW w:w="409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9</w:t>
            </w:r>
          </w:p>
        </w:tc>
        <w:tc>
          <w:tcPr>
            <w:tcW w:w="455" w:type="pct"/>
            <w:hideMark/>
          </w:tcPr>
          <w:p w:rsidR="005B00D8" w:rsidRPr="00BA363D" w:rsidRDefault="00C16E85" w:rsidP="00A55CA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18" w:type="pct"/>
            <w:hideMark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6</w:t>
            </w:r>
            <w:r w:rsidR="00C16E85">
              <w:rPr>
                <w:sz w:val="16"/>
                <w:szCs w:val="16"/>
              </w:rPr>
              <w:t>1</w:t>
            </w:r>
          </w:p>
        </w:tc>
        <w:tc>
          <w:tcPr>
            <w:tcW w:w="545" w:type="pct"/>
          </w:tcPr>
          <w:p w:rsidR="005B00D8" w:rsidRPr="002E1A0C" w:rsidRDefault="00C16E85" w:rsidP="007C0F8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E0487D" w:rsidRPr="00C02695" w:rsidTr="004D66A7">
        <w:trPr>
          <w:trHeight w:val="27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7D" w:rsidRPr="009C30EA" w:rsidRDefault="00E0487D" w:rsidP="00E0487D">
            <w:pPr>
              <w:jc w:val="center"/>
              <w:rPr>
                <w:sz w:val="20"/>
                <w:szCs w:val="20"/>
              </w:rPr>
            </w:pPr>
            <w:r w:rsidRPr="009C30EA">
              <w:rPr>
                <w:sz w:val="20"/>
                <w:szCs w:val="20"/>
              </w:rPr>
              <w:t>93 293 705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7D" w:rsidRPr="009C30EA" w:rsidRDefault="00E0487D" w:rsidP="00E0487D">
            <w:pPr>
              <w:jc w:val="center"/>
              <w:rPr>
                <w:sz w:val="20"/>
                <w:szCs w:val="20"/>
              </w:rPr>
            </w:pPr>
            <w:r w:rsidRPr="009C30EA">
              <w:rPr>
                <w:sz w:val="20"/>
                <w:szCs w:val="20"/>
              </w:rPr>
              <w:t>233 683 100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7D" w:rsidRPr="00572EA9" w:rsidRDefault="00E0487D" w:rsidP="00E0487D">
            <w:pPr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7D" w:rsidRPr="00572EA9" w:rsidRDefault="00E0487D" w:rsidP="00E0487D">
            <w:pPr>
              <w:jc w:val="center"/>
              <w:rPr>
                <w:sz w:val="20"/>
                <w:szCs w:val="20"/>
              </w:rPr>
            </w:pPr>
            <w:r w:rsidRPr="009C30EA">
              <w:rPr>
                <w:sz w:val="20"/>
                <w:szCs w:val="20"/>
              </w:rPr>
              <w:t>30 994 111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7D" w:rsidRPr="00572EA9" w:rsidRDefault="00E0487D" w:rsidP="00E0487D">
            <w:pPr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7D" w:rsidRPr="00572EA9" w:rsidRDefault="00E0487D" w:rsidP="00E0487D">
            <w:pPr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7D" w:rsidRPr="00572EA9" w:rsidRDefault="00E0487D" w:rsidP="00E0487D">
            <w:pPr>
              <w:jc w:val="center"/>
              <w:rPr>
                <w:sz w:val="20"/>
                <w:szCs w:val="20"/>
              </w:rPr>
            </w:pPr>
            <w:r w:rsidRPr="009C30EA">
              <w:rPr>
                <w:sz w:val="20"/>
                <w:szCs w:val="20"/>
              </w:rPr>
              <w:t>5 365 092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7D" w:rsidRPr="00572EA9" w:rsidRDefault="00E0487D" w:rsidP="00E0487D">
            <w:pPr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7D" w:rsidRPr="00E0487D" w:rsidRDefault="00E0487D" w:rsidP="00E0487D">
            <w:pPr>
              <w:jc w:val="center"/>
              <w:rPr>
                <w:sz w:val="20"/>
                <w:szCs w:val="20"/>
                <w:lang w:val="ru-RU"/>
              </w:rPr>
            </w:pPr>
            <w:r w:rsidRPr="009C30EA">
              <w:rPr>
                <w:sz w:val="20"/>
                <w:szCs w:val="20"/>
              </w:rPr>
              <w:t>78 576 653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7D" w:rsidRPr="00572EA9" w:rsidRDefault="00E0487D" w:rsidP="00E0487D">
            <w:pPr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7D" w:rsidRPr="00E0487D" w:rsidRDefault="00E0487D" w:rsidP="00E0487D">
            <w:pPr>
              <w:jc w:val="center"/>
              <w:rPr>
                <w:sz w:val="20"/>
                <w:szCs w:val="20"/>
              </w:rPr>
            </w:pPr>
            <w:r w:rsidRPr="00E0487D">
              <w:rPr>
                <w:sz w:val="20"/>
                <w:szCs w:val="20"/>
              </w:rPr>
              <w:t>11 671 366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7D" w:rsidRPr="00E0487D" w:rsidRDefault="00E0487D" w:rsidP="00E0487D">
            <w:pPr>
              <w:jc w:val="center"/>
              <w:rPr>
                <w:sz w:val="20"/>
                <w:szCs w:val="20"/>
              </w:rPr>
            </w:pPr>
            <w:r w:rsidRPr="00E0487D">
              <w:rPr>
                <w:sz w:val="20"/>
                <w:szCs w:val="20"/>
              </w:rPr>
              <w:t>47 122 990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7D" w:rsidRPr="00572EA9" w:rsidRDefault="00E0487D" w:rsidP="00E0487D">
            <w:pPr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7D" w:rsidRPr="00572EA9" w:rsidRDefault="00E0487D" w:rsidP="00E0487D">
            <w:pPr>
              <w:jc w:val="center"/>
              <w:rPr>
                <w:sz w:val="20"/>
                <w:szCs w:val="20"/>
              </w:rPr>
            </w:pPr>
            <w:r w:rsidRPr="00E0487D">
              <w:rPr>
                <w:sz w:val="20"/>
                <w:szCs w:val="20"/>
              </w:rPr>
              <w:t>23 780 580</w:t>
            </w:r>
          </w:p>
        </w:tc>
      </w:tr>
    </w:tbl>
    <w:p w:rsidR="00461D8D" w:rsidRPr="00C02695" w:rsidRDefault="00B45163" w:rsidP="00D734DF">
      <w:pPr>
        <w:pStyle w:val="a3"/>
        <w:tabs>
          <w:tab w:val="left" w:pos="4618"/>
        </w:tabs>
        <w:jc w:val="both"/>
        <w:rPr>
          <w:sz w:val="16"/>
          <w:szCs w:val="16"/>
          <w:lang w:val="uk-UA"/>
        </w:rPr>
      </w:pPr>
      <w:r w:rsidRPr="00C02695">
        <w:rPr>
          <w:sz w:val="16"/>
          <w:szCs w:val="16"/>
          <w:lang w:val="uk-UA"/>
        </w:rPr>
        <w:t> </w:t>
      </w:r>
      <w:r w:rsidR="00D734DF">
        <w:rPr>
          <w:sz w:val="16"/>
          <w:szCs w:val="16"/>
          <w:lang w:val="uk-UA"/>
        </w:rPr>
        <w:tab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28"/>
        <w:gridCol w:w="7228"/>
      </w:tblGrid>
      <w:tr w:rsidR="00461D8D" w:rsidRPr="00AB08DC" w:rsidTr="00EF7F28">
        <w:trPr>
          <w:tblCellSpacing w:w="22" w:type="dxa"/>
        </w:trPr>
        <w:tc>
          <w:tcPr>
            <w:tcW w:w="2477" w:type="pct"/>
          </w:tcPr>
          <w:p w:rsidR="00461D8D" w:rsidRPr="00AB08DC" w:rsidRDefault="00461D8D">
            <w:pPr>
              <w:pStyle w:val="a3"/>
              <w:jc w:val="center"/>
              <w:rPr>
                <w:sz w:val="22"/>
                <w:szCs w:val="22"/>
                <w:highlight w:val="lightGray"/>
                <w:lang w:val="uk-UA"/>
              </w:rPr>
            </w:pPr>
          </w:p>
        </w:tc>
        <w:tc>
          <w:tcPr>
            <w:tcW w:w="2477" w:type="pct"/>
            <w:vAlign w:val="bottom"/>
          </w:tcPr>
          <w:p w:rsidR="00461D8D" w:rsidRPr="00D42883" w:rsidRDefault="00461D8D" w:rsidP="00D4288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F7F28" w:rsidRPr="00AB08DC" w:rsidRDefault="00EF7F28">
      <w:pPr>
        <w:pStyle w:val="a3"/>
        <w:jc w:val="both"/>
        <w:rPr>
          <w:sz w:val="22"/>
          <w:szCs w:val="22"/>
          <w:lang w:val="uk-UA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14034"/>
      </w:tblGrid>
      <w:tr w:rsidR="00AB08DC" w:rsidRPr="006B1CD9" w:rsidTr="00AB08DC">
        <w:trPr>
          <w:trHeight w:val="315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DC" w:rsidRPr="00AB08DC" w:rsidRDefault="00AB08DC" w:rsidP="00AB08DC">
            <w:pPr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AB08DC">
              <w:rPr>
                <w:rFonts w:eastAsia="Times New Roman"/>
                <w:sz w:val="20"/>
                <w:szCs w:val="20"/>
                <w:lang w:val="uk-UA" w:eastAsia="ru-RU"/>
              </w:rPr>
              <w:t>*Значення коефіцієнту ризику X% розраховується як добуток коефіцієнта ризику 100% на додатковий коефіцієнт 0 згідно з Інструкцією № 368, що застосовується до боргових цінних паперів, емітованих в іноземній валюті центральними органами виконавчої влади України/місцевого самоврядування України, та придбаних/набутих у власність до 31 березня 2021 року включно.</w:t>
            </w:r>
          </w:p>
        </w:tc>
      </w:tr>
      <w:tr w:rsidR="00AB08DC" w:rsidRPr="006B1CD9" w:rsidTr="00AB08DC">
        <w:trPr>
          <w:trHeight w:val="375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DC" w:rsidRDefault="00AB08DC" w:rsidP="00AB08DC">
            <w:pPr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AB08DC">
              <w:rPr>
                <w:rFonts w:eastAsia="Times New Roman"/>
                <w:sz w:val="20"/>
                <w:szCs w:val="20"/>
                <w:lang w:val="uk-UA" w:eastAsia="ru-RU"/>
              </w:rPr>
              <w:t>**Значення коефіцієнту ризику X</w:t>
            </w:r>
            <w:r w:rsidRPr="00AB08DC">
              <w:rPr>
                <w:rFonts w:eastAsia="Times New Roman"/>
                <w:sz w:val="20"/>
                <w:szCs w:val="20"/>
                <w:vertAlign w:val="superscript"/>
                <w:lang w:val="uk-UA" w:eastAsia="ru-RU"/>
              </w:rPr>
              <w:t>1</w:t>
            </w:r>
            <w:r w:rsidRPr="00AB08DC">
              <w:rPr>
                <w:rFonts w:eastAsia="Times New Roman"/>
                <w:sz w:val="20"/>
                <w:szCs w:val="20"/>
                <w:lang w:val="uk-UA" w:eastAsia="ru-RU"/>
              </w:rPr>
              <w:t>% розраховується як добуток коефіцієнта ризику 100% на додатковий коефіцієнт згідно з Інструкцією № 368, що застосовується до боргових цінних паперів, емітованих в іноземній валюті центральними органами виконавчої влади України/місцевого самоврядування України, та придбаних/набутих у власність після 31 березня 2021 року.</w:t>
            </w:r>
          </w:p>
          <w:p w:rsidR="00CB602D" w:rsidRPr="00AB08DC" w:rsidRDefault="00CB602D" w:rsidP="00936032">
            <w:pPr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</w:tbl>
    <w:p w:rsidR="00461D8D" w:rsidRPr="00AB08DC" w:rsidRDefault="00461D8D" w:rsidP="00AB08DC">
      <w:pPr>
        <w:pStyle w:val="a3"/>
        <w:jc w:val="both"/>
        <w:rPr>
          <w:sz w:val="20"/>
          <w:szCs w:val="20"/>
          <w:lang w:val="uk-UA"/>
        </w:rPr>
      </w:pPr>
    </w:p>
    <w:sectPr w:rsidR="00461D8D" w:rsidRPr="00AB08DC" w:rsidSect="00AF6935">
      <w:pgSz w:w="15840" w:h="12240" w:orient="landscape"/>
      <w:pgMar w:top="851" w:right="533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82C30"/>
    <w:multiLevelType w:val="hybridMultilevel"/>
    <w:tmpl w:val="CB6683B4"/>
    <w:lvl w:ilvl="0" w:tplc="44164AA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63"/>
    <w:rsid w:val="00001F6C"/>
    <w:rsid w:val="0000631F"/>
    <w:rsid w:val="00014D4F"/>
    <w:rsid w:val="00040FC3"/>
    <w:rsid w:val="0004407B"/>
    <w:rsid w:val="0006147C"/>
    <w:rsid w:val="00066D75"/>
    <w:rsid w:val="00070D46"/>
    <w:rsid w:val="00071A7D"/>
    <w:rsid w:val="000746D4"/>
    <w:rsid w:val="000775E0"/>
    <w:rsid w:val="00077F34"/>
    <w:rsid w:val="00081683"/>
    <w:rsid w:val="000860F0"/>
    <w:rsid w:val="00086733"/>
    <w:rsid w:val="000A0DB3"/>
    <w:rsid w:val="000A6001"/>
    <w:rsid w:val="000A7F90"/>
    <w:rsid w:val="000B0E8E"/>
    <w:rsid w:val="000B2966"/>
    <w:rsid w:val="000B4CC5"/>
    <w:rsid w:val="000D006C"/>
    <w:rsid w:val="000D1E79"/>
    <w:rsid w:val="000D6BBB"/>
    <w:rsid w:val="000F5838"/>
    <w:rsid w:val="000F6DE1"/>
    <w:rsid w:val="000F7805"/>
    <w:rsid w:val="00101C23"/>
    <w:rsid w:val="00105653"/>
    <w:rsid w:val="001074B2"/>
    <w:rsid w:val="00114F72"/>
    <w:rsid w:val="001669C6"/>
    <w:rsid w:val="00167BD1"/>
    <w:rsid w:val="00172463"/>
    <w:rsid w:val="001750BF"/>
    <w:rsid w:val="0018452D"/>
    <w:rsid w:val="00186740"/>
    <w:rsid w:val="00190B84"/>
    <w:rsid w:val="001971C9"/>
    <w:rsid w:val="001B0706"/>
    <w:rsid w:val="001C1A6C"/>
    <w:rsid w:val="001C4EBC"/>
    <w:rsid w:val="001C5093"/>
    <w:rsid w:val="001D475F"/>
    <w:rsid w:val="001D48D2"/>
    <w:rsid w:val="001D4C2A"/>
    <w:rsid w:val="001D7EC0"/>
    <w:rsid w:val="001E0A52"/>
    <w:rsid w:val="001E1DD5"/>
    <w:rsid w:val="001E3A8B"/>
    <w:rsid w:val="001F1B44"/>
    <w:rsid w:val="001F6651"/>
    <w:rsid w:val="001F7BD3"/>
    <w:rsid w:val="00202F22"/>
    <w:rsid w:val="00206E59"/>
    <w:rsid w:val="0020775E"/>
    <w:rsid w:val="002121A9"/>
    <w:rsid w:val="0021597A"/>
    <w:rsid w:val="00216596"/>
    <w:rsid w:val="00220085"/>
    <w:rsid w:val="00220D16"/>
    <w:rsid w:val="00227536"/>
    <w:rsid w:val="00232C01"/>
    <w:rsid w:val="002359B3"/>
    <w:rsid w:val="00235E21"/>
    <w:rsid w:val="002416E8"/>
    <w:rsid w:val="00242D14"/>
    <w:rsid w:val="0026158C"/>
    <w:rsid w:val="00267B3A"/>
    <w:rsid w:val="0027274E"/>
    <w:rsid w:val="00273898"/>
    <w:rsid w:val="00277E5D"/>
    <w:rsid w:val="00282CAF"/>
    <w:rsid w:val="00283EC7"/>
    <w:rsid w:val="002926CA"/>
    <w:rsid w:val="002946F7"/>
    <w:rsid w:val="00296603"/>
    <w:rsid w:val="002A1388"/>
    <w:rsid w:val="002B31F1"/>
    <w:rsid w:val="002B3EAD"/>
    <w:rsid w:val="002C035E"/>
    <w:rsid w:val="002C0583"/>
    <w:rsid w:val="002D2663"/>
    <w:rsid w:val="002D5653"/>
    <w:rsid w:val="002E105E"/>
    <w:rsid w:val="002E14CF"/>
    <w:rsid w:val="002E1A0C"/>
    <w:rsid w:val="002E737D"/>
    <w:rsid w:val="002F2AAA"/>
    <w:rsid w:val="002F3585"/>
    <w:rsid w:val="002F7371"/>
    <w:rsid w:val="003004D3"/>
    <w:rsid w:val="003005D0"/>
    <w:rsid w:val="00314853"/>
    <w:rsid w:val="00316718"/>
    <w:rsid w:val="00322D1A"/>
    <w:rsid w:val="00330332"/>
    <w:rsid w:val="00332394"/>
    <w:rsid w:val="00333E8A"/>
    <w:rsid w:val="00334FB3"/>
    <w:rsid w:val="003372F4"/>
    <w:rsid w:val="00346B06"/>
    <w:rsid w:val="00351380"/>
    <w:rsid w:val="003555BD"/>
    <w:rsid w:val="00365611"/>
    <w:rsid w:val="00376D81"/>
    <w:rsid w:val="00376E47"/>
    <w:rsid w:val="003770F8"/>
    <w:rsid w:val="00383704"/>
    <w:rsid w:val="00384128"/>
    <w:rsid w:val="003847FE"/>
    <w:rsid w:val="00386215"/>
    <w:rsid w:val="00392F84"/>
    <w:rsid w:val="003A1F05"/>
    <w:rsid w:val="003C0FEF"/>
    <w:rsid w:val="003E02A3"/>
    <w:rsid w:val="003F1299"/>
    <w:rsid w:val="003F6024"/>
    <w:rsid w:val="0040062B"/>
    <w:rsid w:val="00403D7D"/>
    <w:rsid w:val="00412A5F"/>
    <w:rsid w:val="00423017"/>
    <w:rsid w:val="0043283D"/>
    <w:rsid w:val="00441759"/>
    <w:rsid w:val="004437FD"/>
    <w:rsid w:val="0044675E"/>
    <w:rsid w:val="00446F3A"/>
    <w:rsid w:val="00455DFF"/>
    <w:rsid w:val="00460D6C"/>
    <w:rsid w:val="00460F16"/>
    <w:rsid w:val="00461D8D"/>
    <w:rsid w:val="00473D3B"/>
    <w:rsid w:val="00475249"/>
    <w:rsid w:val="004821E4"/>
    <w:rsid w:val="0049084C"/>
    <w:rsid w:val="004A1C09"/>
    <w:rsid w:val="004B457C"/>
    <w:rsid w:val="004C3056"/>
    <w:rsid w:val="004E3A2F"/>
    <w:rsid w:val="00503733"/>
    <w:rsid w:val="00503C52"/>
    <w:rsid w:val="0050568F"/>
    <w:rsid w:val="005226B9"/>
    <w:rsid w:val="00530A67"/>
    <w:rsid w:val="00530D1E"/>
    <w:rsid w:val="00534A24"/>
    <w:rsid w:val="005422BB"/>
    <w:rsid w:val="005464CF"/>
    <w:rsid w:val="00550562"/>
    <w:rsid w:val="0055543E"/>
    <w:rsid w:val="00560DE9"/>
    <w:rsid w:val="005617EF"/>
    <w:rsid w:val="00564D7A"/>
    <w:rsid w:val="00566A66"/>
    <w:rsid w:val="00570E81"/>
    <w:rsid w:val="00572EA9"/>
    <w:rsid w:val="005833B9"/>
    <w:rsid w:val="005837A6"/>
    <w:rsid w:val="00593709"/>
    <w:rsid w:val="005A0496"/>
    <w:rsid w:val="005B00D8"/>
    <w:rsid w:val="005C4A6D"/>
    <w:rsid w:val="005C6647"/>
    <w:rsid w:val="005D17F7"/>
    <w:rsid w:val="005E4446"/>
    <w:rsid w:val="005F5860"/>
    <w:rsid w:val="00605686"/>
    <w:rsid w:val="00621F98"/>
    <w:rsid w:val="006221D8"/>
    <w:rsid w:val="00622CCF"/>
    <w:rsid w:val="006319DF"/>
    <w:rsid w:val="006370CC"/>
    <w:rsid w:val="006439C4"/>
    <w:rsid w:val="006465A5"/>
    <w:rsid w:val="00663BAD"/>
    <w:rsid w:val="00670351"/>
    <w:rsid w:val="006A1B4A"/>
    <w:rsid w:val="006A2D80"/>
    <w:rsid w:val="006B1CD9"/>
    <w:rsid w:val="006C2E52"/>
    <w:rsid w:val="006C75F3"/>
    <w:rsid w:val="006D09F7"/>
    <w:rsid w:val="006D490E"/>
    <w:rsid w:val="006D4C4F"/>
    <w:rsid w:val="006D73CD"/>
    <w:rsid w:val="006E1288"/>
    <w:rsid w:val="006E41A3"/>
    <w:rsid w:val="006E6DF3"/>
    <w:rsid w:val="006F0000"/>
    <w:rsid w:val="006F23F4"/>
    <w:rsid w:val="00703B3E"/>
    <w:rsid w:val="00716C0F"/>
    <w:rsid w:val="00721900"/>
    <w:rsid w:val="0072229F"/>
    <w:rsid w:val="00722F5E"/>
    <w:rsid w:val="007512DB"/>
    <w:rsid w:val="00755811"/>
    <w:rsid w:val="00762285"/>
    <w:rsid w:val="0076383F"/>
    <w:rsid w:val="00790C2B"/>
    <w:rsid w:val="00791B6E"/>
    <w:rsid w:val="007C0F8C"/>
    <w:rsid w:val="007C7289"/>
    <w:rsid w:val="007D6842"/>
    <w:rsid w:val="007E094E"/>
    <w:rsid w:val="007E0A0F"/>
    <w:rsid w:val="007E38F4"/>
    <w:rsid w:val="007E64AA"/>
    <w:rsid w:val="008005D7"/>
    <w:rsid w:val="00807EDA"/>
    <w:rsid w:val="0081252D"/>
    <w:rsid w:val="00812C39"/>
    <w:rsid w:val="008216A2"/>
    <w:rsid w:val="00825145"/>
    <w:rsid w:val="00826C22"/>
    <w:rsid w:val="0083325D"/>
    <w:rsid w:val="00834EF5"/>
    <w:rsid w:val="008468A2"/>
    <w:rsid w:val="00850EB1"/>
    <w:rsid w:val="00855BB6"/>
    <w:rsid w:val="008600E8"/>
    <w:rsid w:val="00864326"/>
    <w:rsid w:val="008653AD"/>
    <w:rsid w:val="00875985"/>
    <w:rsid w:val="008962A2"/>
    <w:rsid w:val="008A3399"/>
    <w:rsid w:val="008A6A7C"/>
    <w:rsid w:val="008C1A9C"/>
    <w:rsid w:val="008C7FA6"/>
    <w:rsid w:val="008D3343"/>
    <w:rsid w:val="008D3F37"/>
    <w:rsid w:val="008E5C84"/>
    <w:rsid w:val="008F14D7"/>
    <w:rsid w:val="00901B73"/>
    <w:rsid w:val="0090681F"/>
    <w:rsid w:val="00913DFA"/>
    <w:rsid w:val="00914B59"/>
    <w:rsid w:val="0091638C"/>
    <w:rsid w:val="00917E93"/>
    <w:rsid w:val="00920FC0"/>
    <w:rsid w:val="00923AE0"/>
    <w:rsid w:val="009263CC"/>
    <w:rsid w:val="00930109"/>
    <w:rsid w:val="00936032"/>
    <w:rsid w:val="0094370E"/>
    <w:rsid w:val="00954521"/>
    <w:rsid w:val="009738E9"/>
    <w:rsid w:val="00975826"/>
    <w:rsid w:val="009776E1"/>
    <w:rsid w:val="0098748F"/>
    <w:rsid w:val="00992B13"/>
    <w:rsid w:val="009978A7"/>
    <w:rsid w:val="00997C43"/>
    <w:rsid w:val="009A0F19"/>
    <w:rsid w:val="009A50D5"/>
    <w:rsid w:val="009A5813"/>
    <w:rsid w:val="009C0978"/>
    <w:rsid w:val="009C1AF7"/>
    <w:rsid w:val="009C201D"/>
    <w:rsid w:val="009C263E"/>
    <w:rsid w:val="009C2A49"/>
    <w:rsid w:val="009C30EA"/>
    <w:rsid w:val="009D0441"/>
    <w:rsid w:val="009D5427"/>
    <w:rsid w:val="009D7F61"/>
    <w:rsid w:val="00A22DB6"/>
    <w:rsid w:val="00A2635C"/>
    <w:rsid w:val="00A306E7"/>
    <w:rsid w:val="00A3596E"/>
    <w:rsid w:val="00A409FC"/>
    <w:rsid w:val="00A470C4"/>
    <w:rsid w:val="00A5277C"/>
    <w:rsid w:val="00A558F2"/>
    <w:rsid w:val="00A55CA2"/>
    <w:rsid w:val="00A6206F"/>
    <w:rsid w:val="00A66A86"/>
    <w:rsid w:val="00A67850"/>
    <w:rsid w:val="00A746E0"/>
    <w:rsid w:val="00A767D8"/>
    <w:rsid w:val="00A7791A"/>
    <w:rsid w:val="00A81F3F"/>
    <w:rsid w:val="00A822E2"/>
    <w:rsid w:val="00A82A6D"/>
    <w:rsid w:val="00A86E06"/>
    <w:rsid w:val="00AA7AA2"/>
    <w:rsid w:val="00AB08DC"/>
    <w:rsid w:val="00AD3349"/>
    <w:rsid w:val="00AD7436"/>
    <w:rsid w:val="00AE07BE"/>
    <w:rsid w:val="00AF0976"/>
    <w:rsid w:val="00AF4D51"/>
    <w:rsid w:val="00AF603D"/>
    <w:rsid w:val="00AF68A3"/>
    <w:rsid w:val="00AF6935"/>
    <w:rsid w:val="00B00F95"/>
    <w:rsid w:val="00B0270A"/>
    <w:rsid w:val="00B30FB5"/>
    <w:rsid w:val="00B321F6"/>
    <w:rsid w:val="00B3404D"/>
    <w:rsid w:val="00B34318"/>
    <w:rsid w:val="00B368D5"/>
    <w:rsid w:val="00B41684"/>
    <w:rsid w:val="00B45163"/>
    <w:rsid w:val="00B4642F"/>
    <w:rsid w:val="00B528D5"/>
    <w:rsid w:val="00B63257"/>
    <w:rsid w:val="00B70D02"/>
    <w:rsid w:val="00B71F29"/>
    <w:rsid w:val="00B72FEA"/>
    <w:rsid w:val="00B7484B"/>
    <w:rsid w:val="00B755FA"/>
    <w:rsid w:val="00B777B0"/>
    <w:rsid w:val="00B80668"/>
    <w:rsid w:val="00B94E98"/>
    <w:rsid w:val="00BA021E"/>
    <w:rsid w:val="00BA363D"/>
    <w:rsid w:val="00BA58CA"/>
    <w:rsid w:val="00BB22E4"/>
    <w:rsid w:val="00BB3B06"/>
    <w:rsid w:val="00BB4636"/>
    <w:rsid w:val="00BC6A02"/>
    <w:rsid w:val="00BE1080"/>
    <w:rsid w:val="00C02695"/>
    <w:rsid w:val="00C0368D"/>
    <w:rsid w:val="00C03B7B"/>
    <w:rsid w:val="00C066F3"/>
    <w:rsid w:val="00C16E85"/>
    <w:rsid w:val="00C24796"/>
    <w:rsid w:val="00C40D1B"/>
    <w:rsid w:val="00C512D2"/>
    <w:rsid w:val="00C55469"/>
    <w:rsid w:val="00C71130"/>
    <w:rsid w:val="00C72EBF"/>
    <w:rsid w:val="00C82F53"/>
    <w:rsid w:val="00C83570"/>
    <w:rsid w:val="00C86125"/>
    <w:rsid w:val="00C94072"/>
    <w:rsid w:val="00C944AE"/>
    <w:rsid w:val="00CB602D"/>
    <w:rsid w:val="00CC173A"/>
    <w:rsid w:val="00CC4F25"/>
    <w:rsid w:val="00CD102E"/>
    <w:rsid w:val="00CD3D99"/>
    <w:rsid w:val="00CD46E3"/>
    <w:rsid w:val="00CE2DE7"/>
    <w:rsid w:val="00CF473D"/>
    <w:rsid w:val="00D010AF"/>
    <w:rsid w:val="00D21068"/>
    <w:rsid w:val="00D24DFF"/>
    <w:rsid w:val="00D32080"/>
    <w:rsid w:val="00D339A3"/>
    <w:rsid w:val="00D42883"/>
    <w:rsid w:val="00D4570E"/>
    <w:rsid w:val="00D64543"/>
    <w:rsid w:val="00D65CD4"/>
    <w:rsid w:val="00D734DF"/>
    <w:rsid w:val="00D73ADC"/>
    <w:rsid w:val="00D7680B"/>
    <w:rsid w:val="00D776BC"/>
    <w:rsid w:val="00D7794D"/>
    <w:rsid w:val="00D828C9"/>
    <w:rsid w:val="00D82A1C"/>
    <w:rsid w:val="00D83677"/>
    <w:rsid w:val="00D84E38"/>
    <w:rsid w:val="00D977E1"/>
    <w:rsid w:val="00DA213D"/>
    <w:rsid w:val="00DA7D41"/>
    <w:rsid w:val="00DB0D25"/>
    <w:rsid w:val="00DB2DEE"/>
    <w:rsid w:val="00DB30D5"/>
    <w:rsid w:val="00DB6B25"/>
    <w:rsid w:val="00DC410D"/>
    <w:rsid w:val="00DD0E71"/>
    <w:rsid w:val="00DD2590"/>
    <w:rsid w:val="00DE0B54"/>
    <w:rsid w:val="00DE17CE"/>
    <w:rsid w:val="00DE1C1F"/>
    <w:rsid w:val="00DF0301"/>
    <w:rsid w:val="00DF4BD4"/>
    <w:rsid w:val="00DF4F53"/>
    <w:rsid w:val="00DF6194"/>
    <w:rsid w:val="00DF728F"/>
    <w:rsid w:val="00E016D3"/>
    <w:rsid w:val="00E0487D"/>
    <w:rsid w:val="00E105AC"/>
    <w:rsid w:val="00E14AD5"/>
    <w:rsid w:val="00E17ECD"/>
    <w:rsid w:val="00E24FCD"/>
    <w:rsid w:val="00E27832"/>
    <w:rsid w:val="00E32457"/>
    <w:rsid w:val="00E34A09"/>
    <w:rsid w:val="00E34DEC"/>
    <w:rsid w:val="00E3531B"/>
    <w:rsid w:val="00E3787D"/>
    <w:rsid w:val="00E42730"/>
    <w:rsid w:val="00E444FB"/>
    <w:rsid w:val="00E5283C"/>
    <w:rsid w:val="00E67EC3"/>
    <w:rsid w:val="00E73045"/>
    <w:rsid w:val="00E76970"/>
    <w:rsid w:val="00E77E06"/>
    <w:rsid w:val="00E82A10"/>
    <w:rsid w:val="00E837FE"/>
    <w:rsid w:val="00E848FB"/>
    <w:rsid w:val="00E902A3"/>
    <w:rsid w:val="00E971F7"/>
    <w:rsid w:val="00E973DD"/>
    <w:rsid w:val="00E97BFC"/>
    <w:rsid w:val="00EA7739"/>
    <w:rsid w:val="00EB2C9A"/>
    <w:rsid w:val="00EC0B6A"/>
    <w:rsid w:val="00EC59DF"/>
    <w:rsid w:val="00ED22B7"/>
    <w:rsid w:val="00EE43AC"/>
    <w:rsid w:val="00EE6954"/>
    <w:rsid w:val="00EE7EBF"/>
    <w:rsid w:val="00EF3171"/>
    <w:rsid w:val="00EF3594"/>
    <w:rsid w:val="00EF5747"/>
    <w:rsid w:val="00EF6FE8"/>
    <w:rsid w:val="00EF7F28"/>
    <w:rsid w:val="00F0673B"/>
    <w:rsid w:val="00F11029"/>
    <w:rsid w:val="00F13BAB"/>
    <w:rsid w:val="00F16210"/>
    <w:rsid w:val="00F2047A"/>
    <w:rsid w:val="00F20F88"/>
    <w:rsid w:val="00F21B12"/>
    <w:rsid w:val="00F47A02"/>
    <w:rsid w:val="00F519E0"/>
    <w:rsid w:val="00F522ED"/>
    <w:rsid w:val="00F52BD3"/>
    <w:rsid w:val="00F541AC"/>
    <w:rsid w:val="00F5709B"/>
    <w:rsid w:val="00F86D02"/>
    <w:rsid w:val="00F92187"/>
    <w:rsid w:val="00FA111E"/>
    <w:rsid w:val="00FC0E6F"/>
    <w:rsid w:val="00FC5962"/>
    <w:rsid w:val="00FC7814"/>
    <w:rsid w:val="00FD1EF4"/>
    <w:rsid w:val="00FD37E2"/>
    <w:rsid w:val="00FE3BCD"/>
    <w:rsid w:val="00FF176E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93318"/>
  <w15:docId w15:val="{E57243AC-5735-4F14-B84D-B068F219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6E0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86E06"/>
    <w:rPr>
      <w:rFonts w:ascii="Segoe UI" w:eastAsiaTheme="minorEastAsia" w:hAnsi="Segoe UI" w:cs="Segoe UI"/>
      <w:sz w:val="18"/>
      <w:szCs w:val="18"/>
    </w:rPr>
  </w:style>
  <w:style w:type="table" w:customStyle="1" w:styleId="-121">
    <w:name w:val="Таблица-сетка 1 светлая — акцент 21"/>
    <w:basedOn w:val="a1"/>
    <w:uiPriority w:val="46"/>
    <w:rsid w:val="00DF4BD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Table Grid"/>
    <w:basedOn w:val="a1"/>
    <w:uiPriority w:val="39"/>
    <w:rsid w:val="00DF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0E22F-0ED8-44EE-A431-BBE954F9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4</Pages>
  <Words>1051</Words>
  <Characters>6112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Єршова Лариса Олександрівна</dc:creator>
  <cp:keywords/>
  <dc:description/>
  <cp:lastModifiedBy>Федорова Олеся Григорівна</cp:lastModifiedBy>
  <cp:revision>161</cp:revision>
  <cp:lastPrinted>2021-09-08T07:35:00Z</cp:lastPrinted>
  <dcterms:created xsi:type="dcterms:W3CDTF">2021-05-05T07:59:00Z</dcterms:created>
  <dcterms:modified xsi:type="dcterms:W3CDTF">2024-02-06T10:34:00Z</dcterms:modified>
</cp:coreProperties>
</file>