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643"/>
        <w:tblW w:w="135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2"/>
      </w:tblGrid>
      <w:tr w:rsidR="001C692D" w:rsidRPr="00215439" w:rsidTr="0003058B">
        <w:trPr>
          <w:trHeight w:val="1118"/>
          <w:tblCellSpacing w:w="22" w:type="dxa"/>
        </w:trPr>
        <w:tc>
          <w:tcPr>
            <w:tcW w:w="4891" w:type="pct"/>
            <w:hideMark/>
          </w:tcPr>
          <w:p w:rsidR="0003058B" w:rsidRPr="001C692D" w:rsidRDefault="0003058B" w:rsidP="002F466C">
            <w:pPr>
              <w:pStyle w:val="a3"/>
              <w:rPr>
                <w:lang w:val="uk-UA"/>
              </w:rPr>
            </w:pPr>
            <w:r w:rsidRPr="001C692D">
              <w:rPr>
                <w:lang w:val="uk-UA"/>
              </w:rPr>
              <w:t>Додаток 4</w:t>
            </w:r>
            <w:r w:rsidRPr="001C692D">
              <w:rPr>
                <w:lang w:val="uk-UA"/>
              </w:rPr>
              <w:br/>
              <w:t>до постанови Правління Національного банку України</w:t>
            </w:r>
            <w:r w:rsidRPr="001C692D">
              <w:rPr>
                <w:lang w:val="uk-UA"/>
              </w:rPr>
              <w:br/>
              <w:t xml:space="preserve">15.02.2018 </w:t>
            </w:r>
            <w:r w:rsidR="002F466C" w:rsidRPr="001C692D">
              <w:rPr>
                <w:lang w:val="uk-UA"/>
              </w:rPr>
              <w:t>№</w:t>
            </w:r>
            <w:r w:rsidRPr="001C692D">
              <w:rPr>
                <w:lang w:val="uk-UA"/>
              </w:rPr>
              <w:t>11</w:t>
            </w:r>
            <w:r w:rsidRPr="001C692D">
              <w:rPr>
                <w:lang w:val="uk-UA"/>
              </w:rPr>
              <w:br/>
              <w:t>(</w:t>
            </w:r>
            <w:r w:rsidR="002F466C" w:rsidRPr="001C692D">
              <w:rPr>
                <w:lang w:val="uk-UA"/>
              </w:rPr>
              <w:t>зі змінами</w:t>
            </w:r>
            <w:r w:rsidRPr="001C692D">
              <w:rPr>
                <w:lang w:val="uk-UA"/>
              </w:rPr>
              <w:t>)</w:t>
            </w:r>
          </w:p>
        </w:tc>
      </w:tr>
      <w:tr w:rsidR="006E24DA" w:rsidRPr="00215439" w:rsidTr="0003058B">
        <w:trPr>
          <w:trHeight w:val="1118"/>
          <w:tblCellSpacing w:w="22" w:type="dxa"/>
        </w:trPr>
        <w:tc>
          <w:tcPr>
            <w:tcW w:w="4891" w:type="pct"/>
          </w:tcPr>
          <w:p w:rsidR="006E24DA" w:rsidRPr="006E24DA" w:rsidRDefault="006E24DA" w:rsidP="002F466C">
            <w:pPr>
              <w:pStyle w:val="a3"/>
              <w:rPr>
                <w:lang w:val="ru-RU"/>
              </w:rPr>
            </w:pPr>
          </w:p>
        </w:tc>
      </w:tr>
    </w:tbl>
    <w:p w:rsidR="00461D8D" w:rsidRPr="001C692D" w:rsidRDefault="00461D8D" w:rsidP="003016ED">
      <w:pPr>
        <w:pStyle w:val="a3"/>
        <w:ind w:right="-3"/>
        <w:jc w:val="both"/>
        <w:rPr>
          <w:lang w:val="uk-UA"/>
        </w:rPr>
      </w:pPr>
    </w:p>
    <w:p w:rsidR="00461D8D" w:rsidRPr="001C692D" w:rsidRDefault="00B45163" w:rsidP="003016ED">
      <w:pPr>
        <w:pStyle w:val="a3"/>
        <w:ind w:right="-286"/>
        <w:jc w:val="both"/>
        <w:rPr>
          <w:sz w:val="28"/>
          <w:szCs w:val="28"/>
          <w:lang w:val="uk-UA"/>
        </w:rPr>
      </w:pPr>
      <w:r w:rsidRPr="001C692D">
        <w:rPr>
          <w:lang w:val="uk-UA"/>
        </w:rPr>
        <w:br w:type="textWrapping" w:clear="all"/>
      </w:r>
    </w:p>
    <w:p w:rsidR="0003058B" w:rsidRPr="001C692D" w:rsidRDefault="0003058B" w:rsidP="003016ED">
      <w:pPr>
        <w:pStyle w:val="a3"/>
        <w:ind w:right="-286"/>
        <w:jc w:val="both"/>
        <w:rPr>
          <w:sz w:val="28"/>
          <w:szCs w:val="28"/>
          <w:lang w:val="uk-UA"/>
        </w:rPr>
      </w:pPr>
    </w:p>
    <w:p w:rsidR="0003058B" w:rsidRPr="001C692D" w:rsidRDefault="00317A91" w:rsidP="0003058B">
      <w:pPr>
        <w:pStyle w:val="a3"/>
        <w:jc w:val="center"/>
        <w:rPr>
          <w:b/>
          <w:bCs/>
          <w:sz w:val="28"/>
          <w:szCs w:val="28"/>
          <w:lang w:val="uk-UA"/>
        </w:rPr>
      </w:pPr>
      <w:r w:rsidRPr="001C692D">
        <w:rPr>
          <w:b/>
          <w:bCs/>
          <w:sz w:val="28"/>
          <w:szCs w:val="28"/>
          <w:lang w:val="uk-UA"/>
        </w:rPr>
        <w:t>Економічні нормативи та ліміти відкритої валютної позиції, розрахунок яких передбачено Інструкцією № 368 та Положенням №290  станом на 0</w:t>
      </w:r>
      <w:r w:rsidR="006132A0">
        <w:rPr>
          <w:b/>
          <w:bCs/>
          <w:sz w:val="28"/>
          <w:szCs w:val="28"/>
          <w:lang w:val="uk-UA"/>
        </w:rPr>
        <w:t>1</w:t>
      </w:r>
      <w:r w:rsidR="003B4A32">
        <w:rPr>
          <w:b/>
          <w:bCs/>
          <w:sz w:val="28"/>
          <w:szCs w:val="28"/>
          <w:lang w:val="uk-UA"/>
        </w:rPr>
        <w:t xml:space="preserve"> </w:t>
      </w:r>
      <w:r w:rsidR="00215439">
        <w:rPr>
          <w:b/>
          <w:bCs/>
          <w:sz w:val="28"/>
          <w:szCs w:val="28"/>
          <w:lang w:val="uk-UA"/>
        </w:rPr>
        <w:t xml:space="preserve">серпня </w:t>
      </w:r>
      <w:r w:rsidRPr="001C692D">
        <w:rPr>
          <w:b/>
          <w:bCs/>
          <w:sz w:val="28"/>
          <w:szCs w:val="28"/>
          <w:lang w:val="uk-UA"/>
        </w:rPr>
        <w:t>20</w:t>
      </w:r>
      <w:r w:rsidR="000E606A" w:rsidRPr="001C692D">
        <w:rPr>
          <w:b/>
          <w:bCs/>
          <w:sz w:val="28"/>
          <w:szCs w:val="28"/>
          <w:lang w:val="uk-UA"/>
        </w:rPr>
        <w:t>2</w:t>
      </w:r>
      <w:r w:rsidR="00276A82">
        <w:rPr>
          <w:b/>
          <w:bCs/>
          <w:sz w:val="28"/>
          <w:szCs w:val="28"/>
          <w:lang w:val="uk-UA"/>
        </w:rPr>
        <w:t>4</w:t>
      </w:r>
      <w:r w:rsidRPr="001C692D">
        <w:rPr>
          <w:b/>
          <w:bCs/>
          <w:sz w:val="28"/>
          <w:szCs w:val="28"/>
          <w:lang w:val="uk-UA"/>
        </w:rPr>
        <w:t xml:space="preserve"> року</w:t>
      </w:r>
    </w:p>
    <w:p w:rsidR="005731F3" w:rsidRPr="001C692D" w:rsidRDefault="005731F3" w:rsidP="00A35035">
      <w:pPr>
        <w:pStyle w:val="a3"/>
        <w:ind w:right="-286"/>
        <w:rPr>
          <w:b/>
          <w:bCs/>
          <w:sz w:val="28"/>
          <w:szCs w:val="28"/>
          <w:lang w:val="uk-UA"/>
        </w:rPr>
      </w:pPr>
      <w:r w:rsidRPr="001C692D">
        <w:rPr>
          <w:b/>
          <w:bCs/>
          <w:sz w:val="28"/>
          <w:szCs w:val="28"/>
          <w:lang w:val="uk-UA"/>
        </w:rPr>
        <w:t xml:space="preserve"> </w:t>
      </w:r>
      <w:r w:rsidR="00A35035">
        <w:rPr>
          <w:b/>
          <w:bCs/>
          <w:sz w:val="28"/>
          <w:szCs w:val="28"/>
          <w:lang w:val="uk-UA"/>
        </w:rPr>
        <w:t xml:space="preserve">                           </w:t>
      </w:r>
      <w:r w:rsidR="0003058B" w:rsidRPr="001C692D">
        <w:rPr>
          <w:b/>
          <w:bCs/>
          <w:sz w:val="28"/>
          <w:szCs w:val="28"/>
          <w:lang w:val="uk-UA"/>
        </w:rPr>
        <w:t>(за даними файл</w:t>
      </w:r>
      <w:r w:rsidR="0035618D" w:rsidRPr="001C692D">
        <w:rPr>
          <w:b/>
          <w:bCs/>
          <w:sz w:val="28"/>
          <w:szCs w:val="28"/>
          <w:lang w:val="ru-RU"/>
        </w:rPr>
        <w:t>у</w:t>
      </w:r>
      <w:r w:rsidR="0003058B" w:rsidRPr="001C692D">
        <w:rPr>
          <w:b/>
          <w:bCs/>
          <w:sz w:val="28"/>
          <w:szCs w:val="28"/>
          <w:lang w:val="uk-UA"/>
        </w:rPr>
        <w:t xml:space="preserve"> </w:t>
      </w:r>
      <w:r w:rsidR="0035618D" w:rsidRPr="001C692D">
        <w:rPr>
          <w:b/>
          <w:bCs/>
          <w:sz w:val="28"/>
          <w:szCs w:val="28"/>
          <w:lang w:val="uk-UA"/>
        </w:rPr>
        <w:t>01</w:t>
      </w:r>
      <w:r w:rsidR="0035618D" w:rsidRPr="001C692D">
        <w:rPr>
          <w:b/>
          <w:bCs/>
          <w:sz w:val="28"/>
          <w:szCs w:val="28"/>
        </w:rPr>
        <w:t>X</w:t>
      </w:r>
      <w:r w:rsidR="0003058B" w:rsidRPr="001C692D">
        <w:rPr>
          <w:b/>
          <w:bCs/>
          <w:sz w:val="28"/>
          <w:szCs w:val="28"/>
          <w:lang w:val="uk-UA"/>
        </w:rPr>
        <w:t xml:space="preserve"> до проведення коригуючих проводок за </w:t>
      </w:r>
      <w:r w:rsidR="00215439">
        <w:rPr>
          <w:b/>
          <w:bCs/>
          <w:sz w:val="28"/>
          <w:szCs w:val="28"/>
          <w:lang w:val="uk-UA"/>
        </w:rPr>
        <w:t>липень</w:t>
      </w:r>
      <w:r w:rsidR="006A5B31">
        <w:rPr>
          <w:b/>
          <w:bCs/>
          <w:sz w:val="28"/>
          <w:szCs w:val="28"/>
          <w:lang w:val="uk-UA"/>
        </w:rPr>
        <w:t xml:space="preserve"> </w:t>
      </w:r>
      <w:r w:rsidR="0003058B" w:rsidRPr="001C692D">
        <w:rPr>
          <w:b/>
          <w:bCs/>
          <w:sz w:val="28"/>
          <w:szCs w:val="28"/>
          <w:lang w:val="uk-UA"/>
        </w:rPr>
        <w:t>20</w:t>
      </w:r>
      <w:r w:rsidR="001B6B64">
        <w:rPr>
          <w:b/>
          <w:bCs/>
          <w:sz w:val="28"/>
          <w:szCs w:val="28"/>
          <w:lang w:val="uk-UA"/>
        </w:rPr>
        <w:t>2</w:t>
      </w:r>
      <w:r w:rsidR="00EF6EB5">
        <w:rPr>
          <w:b/>
          <w:bCs/>
          <w:sz w:val="28"/>
          <w:szCs w:val="28"/>
          <w:lang w:val="uk-UA"/>
        </w:rPr>
        <w:t>4</w:t>
      </w:r>
      <w:r w:rsidR="0003058B" w:rsidRPr="001C692D">
        <w:rPr>
          <w:b/>
          <w:bCs/>
          <w:sz w:val="28"/>
          <w:szCs w:val="28"/>
          <w:lang w:val="uk-UA"/>
        </w:rPr>
        <w:t xml:space="preserve"> року)</w:t>
      </w:r>
    </w:p>
    <w:p w:rsidR="0003058B" w:rsidRPr="001C692D" w:rsidRDefault="0003058B" w:rsidP="005731F3">
      <w:pPr>
        <w:pStyle w:val="a3"/>
        <w:spacing w:before="0" w:beforeAutospacing="0" w:after="0" w:afterAutospacing="0"/>
        <w:ind w:right="283"/>
        <w:jc w:val="right"/>
        <w:rPr>
          <w:sz w:val="28"/>
          <w:szCs w:val="28"/>
          <w:lang w:val="uk-UA"/>
        </w:rPr>
      </w:pPr>
      <w:r w:rsidRPr="001C692D">
        <w:rPr>
          <w:lang w:val="uk-UA"/>
        </w:rPr>
        <w:t>Таблиця</w:t>
      </w:r>
    </w:p>
    <w:tbl>
      <w:tblPr>
        <w:tblStyle w:val="a6"/>
        <w:tblpPr w:leftFromText="45" w:rightFromText="45" w:vertAnchor="text" w:horzAnchor="margin" w:tblpXSpec="center" w:tblpY="345"/>
        <w:tblW w:w="5017" w:type="pct"/>
        <w:tblLayout w:type="fixed"/>
        <w:tblLook w:val="04A0" w:firstRow="1" w:lastRow="0" w:firstColumn="1" w:lastColumn="0" w:noHBand="0" w:noVBand="1"/>
      </w:tblPr>
      <w:tblGrid>
        <w:gridCol w:w="560"/>
        <w:gridCol w:w="1844"/>
        <w:gridCol w:w="1136"/>
        <w:gridCol w:w="850"/>
        <w:gridCol w:w="850"/>
        <w:gridCol w:w="850"/>
        <w:gridCol w:w="850"/>
        <w:gridCol w:w="856"/>
        <w:gridCol w:w="850"/>
        <w:gridCol w:w="850"/>
        <w:gridCol w:w="1133"/>
        <w:gridCol w:w="994"/>
        <w:gridCol w:w="1133"/>
        <w:gridCol w:w="1133"/>
        <w:gridCol w:w="1178"/>
      </w:tblGrid>
      <w:tr w:rsidR="002B6C81" w:rsidRPr="001C692D" w:rsidTr="002B6C81">
        <w:trPr>
          <w:trHeight w:val="555"/>
        </w:trPr>
        <w:tc>
          <w:tcPr>
            <w:tcW w:w="186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N з/п</w:t>
            </w:r>
          </w:p>
        </w:tc>
        <w:tc>
          <w:tcPr>
            <w:tcW w:w="61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Найменування банку</w:t>
            </w:r>
          </w:p>
        </w:tc>
        <w:tc>
          <w:tcPr>
            <w:tcW w:w="377" w:type="pct"/>
            <w:hideMark/>
          </w:tcPr>
          <w:p w:rsidR="002A06F5" w:rsidRPr="001C692D" w:rsidRDefault="002A06F5" w:rsidP="0084797E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Н1,</w:t>
            </w:r>
            <w:r w:rsidRPr="001C692D">
              <w:rPr>
                <w:lang w:val="uk-UA"/>
              </w:rPr>
              <w:br/>
              <w:t>тис. грн.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Н2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Н3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Н7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Н8</w:t>
            </w:r>
          </w:p>
        </w:tc>
        <w:tc>
          <w:tcPr>
            <w:tcW w:w="284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Н9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Н11</w:t>
            </w:r>
          </w:p>
        </w:tc>
        <w:tc>
          <w:tcPr>
            <w:tcW w:w="282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Н12</w:t>
            </w:r>
          </w:p>
        </w:tc>
        <w:tc>
          <w:tcPr>
            <w:tcW w:w="376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Л13-1</w:t>
            </w:r>
          </w:p>
        </w:tc>
        <w:tc>
          <w:tcPr>
            <w:tcW w:w="330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Л13-2</w:t>
            </w:r>
          </w:p>
        </w:tc>
        <w:tc>
          <w:tcPr>
            <w:tcW w:w="376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LCR</w:t>
            </w:r>
            <w:r w:rsidRPr="001C692D">
              <w:rPr>
                <w:vertAlign w:val="subscript"/>
                <w:lang w:val="uk-UA"/>
              </w:rPr>
              <w:t xml:space="preserve"> BB</w:t>
            </w:r>
          </w:p>
        </w:tc>
        <w:tc>
          <w:tcPr>
            <w:tcW w:w="376" w:type="pct"/>
            <w:hideMark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LCR</w:t>
            </w:r>
            <w:r w:rsidRPr="001C692D">
              <w:rPr>
                <w:vertAlign w:val="subscript"/>
                <w:lang w:val="uk-UA"/>
              </w:rPr>
              <w:t xml:space="preserve"> IB</w:t>
            </w:r>
          </w:p>
        </w:tc>
        <w:tc>
          <w:tcPr>
            <w:tcW w:w="391" w:type="pct"/>
          </w:tcPr>
          <w:p w:rsidR="002A06F5" w:rsidRPr="001C692D" w:rsidRDefault="002A06F5" w:rsidP="00F60AE0">
            <w:pPr>
              <w:pStyle w:val="a3"/>
              <w:jc w:val="center"/>
              <w:rPr>
                <w:lang w:val="uk-UA"/>
              </w:rPr>
            </w:pPr>
            <w:r w:rsidRPr="002E0523">
              <w:rPr>
                <w:lang w:val="uk-UA"/>
              </w:rPr>
              <w:t>NSFR</w:t>
            </w:r>
          </w:p>
        </w:tc>
      </w:tr>
      <w:tr w:rsidR="002B6C81" w:rsidRPr="001C692D" w:rsidTr="002B6C81">
        <w:trPr>
          <w:trHeight w:val="277"/>
        </w:trPr>
        <w:tc>
          <w:tcPr>
            <w:tcW w:w="186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</w:t>
            </w:r>
          </w:p>
        </w:tc>
        <w:tc>
          <w:tcPr>
            <w:tcW w:w="61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2</w:t>
            </w:r>
          </w:p>
        </w:tc>
        <w:tc>
          <w:tcPr>
            <w:tcW w:w="377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3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4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5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4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2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6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11</w:t>
            </w:r>
          </w:p>
        </w:tc>
        <w:tc>
          <w:tcPr>
            <w:tcW w:w="330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12</w:t>
            </w:r>
          </w:p>
        </w:tc>
        <w:tc>
          <w:tcPr>
            <w:tcW w:w="376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13</w:t>
            </w:r>
          </w:p>
        </w:tc>
        <w:tc>
          <w:tcPr>
            <w:tcW w:w="376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14</w:t>
            </w:r>
          </w:p>
        </w:tc>
        <w:tc>
          <w:tcPr>
            <w:tcW w:w="391" w:type="pct"/>
          </w:tcPr>
          <w:p w:rsidR="002A06F5" w:rsidRPr="001C692D" w:rsidRDefault="002A06F5" w:rsidP="002A06F5">
            <w:pPr>
              <w:pStyle w:val="a3"/>
              <w:jc w:val="center"/>
              <w:rPr>
                <w:lang w:val="uk-UA"/>
              </w:rPr>
            </w:pPr>
            <w:r w:rsidRPr="001C692D">
              <w:rPr>
                <w:lang w:val="uk-UA"/>
              </w:rPr>
              <w:t>15</w:t>
            </w:r>
          </w:p>
        </w:tc>
      </w:tr>
      <w:tr w:rsidR="00215439" w:rsidRPr="001B6B64" w:rsidTr="00E268B9">
        <w:trPr>
          <w:trHeight w:val="542"/>
        </w:trPr>
        <w:tc>
          <w:tcPr>
            <w:tcW w:w="186" w:type="pct"/>
            <w:vAlign w:val="center"/>
            <w:hideMark/>
          </w:tcPr>
          <w:p w:rsidR="00215439" w:rsidRPr="001C692D" w:rsidRDefault="00215439" w:rsidP="00215439">
            <w:pPr>
              <w:rPr>
                <w:lang w:val="uk-UA"/>
              </w:rPr>
            </w:pPr>
          </w:p>
        </w:tc>
        <w:tc>
          <w:tcPr>
            <w:tcW w:w="612" w:type="pct"/>
            <w:vAlign w:val="center"/>
            <w:hideMark/>
          </w:tcPr>
          <w:p w:rsidR="00215439" w:rsidRPr="002B6C81" w:rsidRDefault="00215439" w:rsidP="00215439">
            <w:pPr>
              <w:rPr>
                <w:sz w:val="20"/>
                <w:szCs w:val="20"/>
                <w:lang w:val="uk-UA"/>
              </w:rPr>
            </w:pPr>
            <w:r w:rsidRPr="002B6C81">
              <w:rPr>
                <w:sz w:val="20"/>
                <w:szCs w:val="20"/>
                <w:lang w:val="uk-UA"/>
              </w:rPr>
              <w:t>АТ “Ощадбанк”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439" w:rsidRDefault="00215439" w:rsidP="00215439">
            <w:pPr>
              <w:rPr>
                <w:sz w:val="20"/>
                <w:szCs w:val="20"/>
              </w:rPr>
            </w:pPr>
          </w:p>
          <w:p w:rsidR="00215439" w:rsidRDefault="00215439" w:rsidP="00215439">
            <w:pPr>
              <w:rPr>
                <w:sz w:val="20"/>
                <w:szCs w:val="20"/>
              </w:rPr>
            </w:pPr>
          </w:p>
          <w:p w:rsidR="00215439" w:rsidRPr="00215439" w:rsidRDefault="00215439" w:rsidP="0021543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215439">
              <w:rPr>
                <w:sz w:val="20"/>
                <w:szCs w:val="20"/>
              </w:rPr>
              <w:t>31 393</w:t>
            </w:r>
            <w:r w:rsidRPr="00215439">
              <w:rPr>
                <w:sz w:val="20"/>
                <w:szCs w:val="20"/>
              </w:rPr>
              <w:t> </w:t>
            </w:r>
            <w:r w:rsidRPr="00215439">
              <w:rPr>
                <w:sz w:val="20"/>
                <w:szCs w:val="20"/>
              </w:rPr>
              <w:t>626</w:t>
            </w:r>
          </w:p>
          <w:p w:rsidR="00215439" w:rsidRPr="00215439" w:rsidRDefault="00215439" w:rsidP="00215439">
            <w:pPr>
              <w:rPr>
                <w:sz w:val="20"/>
                <w:szCs w:val="20"/>
                <w:lang w:val="uk-UA"/>
              </w:rPr>
            </w:pPr>
          </w:p>
          <w:p w:rsidR="00215439" w:rsidRPr="002B6C81" w:rsidRDefault="00215439" w:rsidP="00215439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15,48%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9,79%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6,53%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47,57%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1,49%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0,01%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180,4970%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0,1115%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311,4481%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450,3249%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39" w:rsidRPr="00215439" w:rsidRDefault="00215439" w:rsidP="00215439">
            <w:pPr>
              <w:jc w:val="center"/>
              <w:rPr>
                <w:color w:val="000000"/>
                <w:sz w:val="20"/>
                <w:szCs w:val="20"/>
              </w:rPr>
            </w:pPr>
            <w:r w:rsidRPr="00215439">
              <w:rPr>
                <w:color w:val="000000"/>
                <w:sz w:val="20"/>
                <w:szCs w:val="20"/>
              </w:rPr>
              <w:t>215,7936%</w:t>
            </w:r>
          </w:p>
        </w:tc>
      </w:tr>
    </w:tbl>
    <w:p w:rsidR="00461D8D" w:rsidRPr="001C692D" w:rsidRDefault="00461D8D" w:rsidP="00F34BBA">
      <w:pPr>
        <w:pStyle w:val="a3"/>
        <w:ind w:left="-284" w:right="283"/>
        <w:jc w:val="both"/>
        <w:rPr>
          <w:lang w:val="uk-UA"/>
        </w:rPr>
      </w:pPr>
    </w:p>
    <w:p w:rsidR="00233D6B" w:rsidRDefault="00233D6B" w:rsidP="001463E8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461D8D" w:rsidRPr="001C692D" w:rsidRDefault="00317A91" w:rsidP="00317A91">
      <w:pPr>
        <w:pStyle w:val="a3"/>
        <w:jc w:val="both"/>
        <w:rPr>
          <w:lang w:val="uk-UA"/>
        </w:rPr>
      </w:pPr>
      <w:r w:rsidRPr="001C692D">
        <w:rPr>
          <w:lang w:val="uk-UA"/>
        </w:rPr>
        <w:t xml:space="preserve">У колонках 3 – </w:t>
      </w:r>
      <w:r w:rsidR="009D3C3B" w:rsidRPr="009D3C3B">
        <w:rPr>
          <w:lang w:val="uk-UA"/>
        </w:rPr>
        <w:t>8</w:t>
      </w:r>
      <w:r w:rsidRPr="001C692D">
        <w:rPr>
          <w:lang w:val="uk-UA"/>
        </w:rPr>
        <w:t>, 1</w:t>
      </w:r>
      <w:r w:rsidR="009D3C3B" w:rsidRPr="009D3C3B">
        <w:rPr>
          <w:lang w:val="uk-UA"/>
        </w:rPr>
        <w:t>1</w:t>
      </w:r>
      <w:r w:rsidRPr="001C692D">
        <w:rPr>
          <w:lang w:val="uk-UA"/>
        </w:rPr>
        <w:t>, 1</w:t>
      </w:r>
      <w:r w:rsidR="009D3C3B" w:rsidRPr="009D3C3B">
        <w:rPr>
          <w:lang w:val="uk-UA"/>
        </w:rPr>
        <w:t>2</w:t>
      </w:r>
      <w:r w:rsidRPr="001C692D">
        <w:rPr>
          <w:lang w:val="uk-UA"/>
        </w:rPr>
        <w:t xml:space="preserve"> таблиці зазначаються значення  економічних нормативів і лімітів відкритої валютної позиції станом </w:t>
      </w:r>
      <w:r w:rsidR="009D3C3B">
        <w:rPr>
          <w:lang w:val="uk-UA"/>
        </w:rPr>
        <w:t xml:space="preserve">на 01 число місяця, у колонках </w:t>
      </w:r>
      <w:r w:rsidR="009D3C3B" w:rsidRPr="009D3C3B">
        <w:rPr>
          <w:lang w:val="uk-UA"/>
        </w:rPr>
        <w:t>9</w:t>
      </w:r>
      <w:r w:rsidRPr="001C692D">
        <w:rPr>
          <w:lang w:val="uk-UA"/>
        </w:rPr>
        <w:t>, 1</w:t>
      </w:r>
      <w:r w:rsidR="009D3C3B" w:rsidRPr="009D3C3B">
        <w:rPr>
          <w:lang w:val="uk-UA"/>
        </w:rPr>
        <w:t>0</w:t>
      </w:r>
      <w:r w:rsidRPr="001C692D">
        <w:rPr>
          <w:lang w:val="uk-UA"/>
        </w:rPr>
        <w:t xml:space="preserve"> таблиці – середньозважені значення за місяць, у колонках 1</w:t>
      </w:r>
      <w:r w:rsidR="009D3C3B" w:rsidRPr="009D3C3B">
        <w:rPr>
          <w:lang w:val="uk-UA"/>
        </w:rPr>
        <w:t>3</w:t>
      </w:r>
      <w:r w:rsidRPr="001C692D">
        <w:rPr>
          <w:lang w:val="uk-UA"/>
        </w:rPr>
        <w:t>, 1</w:t>
      </w:r>
      <w:r w:rsidR="009D3C3B" w:rsidRPr="009D3C3B">
        <w:rPr>
          <w:lang w:val="uk-UA"/>
        </w:rPr>
        <w:t>4</w:t>
      </w:r>
      <w:r w:rsidRPr="001C692D">
        <w:rPr>
          <w:lang w:val="uk-UA"/>
        </w:rPr>
        <w:t xml:space="preserve"> таблиці – значення, розраховані за формулою середньоарифметичної величини коефіцієнта покриття ліквідністю (LCR) за останні 30 календарних днів.</w:t>
      </w:r>
    </w:p>
    <w:sectPr w:rsidR="00461D8D" w:rsidRPr="001C692D" w:rsidSect="00F60AE0">
      <w:pgSz w:w="15840" w:h="12240" w:orient="landscape"/>
      <w:pgMar w:top="1134" w:right="24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82C30"/>
    <w:multiLevelType w:val="hybridMultilevel"/>
    <w:tmpl w:val="CB6683B4"/>
    <w:lvl w:ilvl="0" w:tplc="44164AA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63"/>
    <w:rsid w:val="0000175D"/>
    <w:rsid w:val="0003042E"/>
    <w:rsid w:val="0003058B"/>
    <w:rsid w:val="00077B34"/>
    <w:rsid w:val="000A3A11"/>
    <w:rsid w:val="000A694E"/>
    <w:rsid w:val="000C603D"/>
    <w:rsid w:val="000D006C"/>
    <w:rsid w:val="000D1A65"/>
    <w:rsid w:val="000D1E79"/>
    <w:rsid w:val="000E3735"/>
    <w:rsid w:val="000E606A"/>
    <w:rsid w:val="000F4144"/>
    <w:rsid w:val="00126891"/>
    <w:rsid w:val="001463E8"/>
    <w:rsid w:val="001519F4"/>
    <w:rsid w:val="00164B76"/>
    <w:rsid w:val="001B6B64"/>
    <w:rsid w:val="001C692D"/>
    <w:rsid w:val="001C76FC"/>
    <w:rsid w:val="001E06E3"/>
    <w:rsid w:val="001E0A69"/>
    <w:rsid w:val="00212E86"/>
    <w:rsid w:val="0021436C"/>
    <w:rsid w:val="00215439"/>
    <w:rsid w:val="00215759"/>
    <w:rsid w:val="00233D6B"/>
    <w:rsid w:val="00236C78"/>
    <w:rsid w:val="0024394D"/>
    <w:rsid w:val="00276A82"/>
    <w:rsid w:val="002937A2"/>
    <w:rsid w:val="002947C0"/>
    <w:rsid w:val="002A06F5"/>
    <w:rsid w:val="002A0D53"/>
    <w:rsid w:val="002B3CE5"/>
    <w:rsid w:val="002B4E12"/>
    <w:rsid w:val="002B634B"/>
    <w:rsid w:val="002B6C81"/>
    <w:rsid w:val="002C3457"/>
    <w:rsid w:val="002C5454"/>
    <w:rsid w:val="002E0523"/>
    <w:rsid w:val="002E4050"/>
    <w:rsid w:val="002E454E"/>
    <w:rsid w:val="002F392C"/>
    <w:rsid w:val="002F466C"/>
    <w:rsid w:val="003016ED"/>
    <w:rsid w:val="00312D4C"/>
    <w:rsid w:val="00316B5E"/>
    <w:rsid w:val="00317A91"/>
    <w:rsid w:val="00327165"/>
    <w:rsid w:val="00332394"/>
    <w:rsid w:val="00344A5D"/>
    <w:rsid w:val="00346B06"/>
    <w:rsid w:val="003555BD"/>
    <w:rsid w:val="0035618D"/>
    <w:rsid w:val="003572D4"/>
    <w:rsid w:val="00365287"/>
    <w:rsid w:val="00367504"/>
    <w:rsid w:val="003770F8"/>
    <w:rsid w:val="003B4A32"/>
    <w:rsid w:val="003B5FF2"/>
    <w:rsid w:val="003B7589"/>
    <w:rsid w:val="003C0FEF"/>
    <w:rsid w:val="003D3121"/>
    <w:rsid w:val="003E0F65"/>
    <w:rsid w:val="003E19DC"/>
    <w:rsid w:val="003F3573"/>
    <w:rsid w:val="00404C04"/>
    <w:rsid w:val="004169F6"/>
    <w:rsid w:val="00450F8A"/>
    <w:rsid w:val="00460786"/>
    <w:rsid w:val="00461D8D"/>
    <w:rsid w:val="00465CA4"/>
    <w:rsid w:val="0048641A"/>
    <w:rsid w:val="004A301D"/>
    <w:rsid w:val="004A7179"/>
    <w:rsid w:val="004A79C5"/>
    <w:rsid w:val="004C3056"/>
    <w:rsid w:val="004C6F78"/>
    <w:rsid w:val="00503733"/>
    <w:rsid w:val="00503C52"/>
    <w:rsid w:val="0051157E"/>
    <w:rsid w:val="00515C95"/>
    <w:rsid w:val="00517D6D"/>
    <w:rsid w:val="005464CF"/>
    <w:rsid w:val="00547DD9"/>
    <w:rsid w:val="00555FA4"/>
    <w:rsid w:val="00561473"/>
    <w:rsid w:val="005674E1"/>
    <w:rsid w:val="00570E81"/>
    <w:rsid w:val="00571005"/>
    <w:rsid w:val="0057141E"/>
    <w:rsid w:val="005731F3"/>
    <w:rsid w:val="005837A6"/>
    <w:rsid w:val="00585905"/>
    <w:rsid w:val="00587B10"/>
    <w:rsid w:val="00593930"/>
    <w:rsid w:val="005B1517"/>
    <w:rsid w:val="005C053D"/>
    <w:rsid w:val="005C6D09"/>
    <w:rsid w:val="005E7F32"/>
    <w:rsid w:val="0060230E"/>
    <w:rsid w:val="006132A0"/>
    <w:rsid w:val="00635131"/>
    <w:rsid w:val="00635F17"/>
    <w:rsid w:val="006460A4"/>
    <w:rsid w:val="006632F1"/>
    <w:rsid w:val="00673A46"/>
    <w:rsid w:val="0068165B"/>
    <w:rsid w:val="00685504"/>
    <w:rsid w:val="00685711"/>
    <w:rsid w:val="00685786"/>
    <w:rsid w:val="006933E0"/>
    <w:rsid w:val="006A132A"/>
    <w:rsid w:val="006A1B4A"/>
    <w:rsid w:val="006A5B31"/>
    <w:rsid w:val="006C2E52"/>
    <w:rsid w:val="006D08CA"/>
    <w:rsid w:val="006D45AE"/>
    <w:rsid w:val="006E24DA"/>
    <w:rsid w:val="0070128D"/>
    <w:rsid w:val="00713B0A"/>
    <w:rsid w:val="00761184"/>
    <w:rsid w:val="00791B6E"/>
    <w:rsid w:val="0079740D"/>
    <w:rsid w:val="007A5C0F"/>
    <w:rsid w:val="007B0736"/>
    <w:rsid w:val="007B7E11"/>
    <w:rsid w:val="007C4E6F"/>
    <w:rsid w:val="007D2CBF"/>
    <w:rsid w:val="007E65A4"/>
    <w:rsid w:val="007F08EF"/>
    <w:rsid w:val="00801A21"/>
    <w:rsid w:val="00812B8B"/>
    <w:rsid w:val="00812F9A"/>
    <w:rsid w:val="00825145"/>
    <w:rsid w:val="0083018A"/>
    <w:rsid w:val="00834EF5"/>
    <w:rsid w:val="00836524"/>
    <w:rsid w:val="008468A2"/>
    <w:rsid w:val="0084797E"/>
    <w:rsid w:val="00865C90"/>
    <w:rsid w:val="00875570"/>
    <w:rsid w:val="00876B2D"/>
    <w:rsid w:val="008A1526"/>
    <w:rsid w:val="008C2F93"/>
    <w:rsid w:val="008C62FF"/>
    <w:rsid w:val="008D4B4D"/>
    <w:rsid w:val="008D510F"/>
    <w:rsid w:val="008E130D"/>
    <w:rsid w:val="008E228D"/>
    <w:rsid w:val="00904FEA"/>
    <w:rsid w:val="00905550"/>
    <w:rsid w:val="0091746C"/>
    <w:rsid w:val="009179C0"/>
    <w:rsid w:val="0094370E"/>
    <w:rsid w:val="00980340"/>
    <w:rsid w:val="0098470D"/>
    <w:rsid w:val="00996C02"/>
    <w:rsid w:val="009D3C3B"/>
    <w:rsid w:val="009D4E02"/>
    <w:rsid w:val="009D6BA0"/>
    <w:rsid w:val="009E423B"/>
    <w:rsid w:val="009E5E91"/>
    <w:rsid w:val="009E6A26"/>
    <w:rsid w:val="009E71D3"/>
    <w:rsid w:val="00A35035"/>
    <w:rsid w:val="00A511FB"/>
    <w:rsid w:val="00A5277C"/>
    <w:rsid w:val="00A67E73"/>
    <w:rsid w:val="00A746E0"/>
    <w:rsid w:val="00A847A2"/>
    <w:rsid w:val="00A86B0F"/>
    <w:rsid w:val="00A86E06"/>
    <w:rsid w:val="00AC7E5C"/>
    <w:rsid w:val="00AE07BE"/>
    <w:rsid w:val="00B30FB5"/>
    <w:rsid w:val="00B368D5"/>
    <w:rsid w:val="00B378D4"/>
    <w:rsid w:val="00B41E37"/>
    <w:rsid w:val="00B45163"/>
    <w:rsid w:val="00B548B3"/>
    <w:rsid w:val="00B56E45"/>
    <w:rsid w:val="00B62D80"/>
    <w:rsid w:val="00B701CB"/>
    <w:rsid w:val="00B876D9"/>
    <w:rsid w:val="00BB22E4"/>
    <w:rsid w:val="00BB794D"/>
    <w:rsid w:val="00BC0D52"/>
    <w:rsid w:val="00BC6156"/>
    <w:rsid w:val="00BE3A06"/>
    <w:rsid w:val="00BF3095"/>
    <w:rsid w:val="00C1683A"/>
    <w:rsid w:val="00C23F3F"/>
    <w:rsid w:val="00C67E9E"/>
    <w:rsid w:val="00C801E6"/>
    <w:rsid w:val="00C96A6A"/>
    <w:rsid w:val="00CD0FC1"/>
    <w:rsid w:val="00CD102E"/>
    <w:rsid w:val="00CE02C1"/>
    <w:rsid w:val="00CF05A8"/>
    <w:rsid w:val="00CF7DB1"/>
    <w:rsid w:val="00D10B7D"/>
    <w:rsid w:val="00D16FB0"/>
    <w:rsid w:val="00D17F9E"/>
    <w:rsid w:val="00D2300A"/>
    <w:rsid w:val="00D25B79"/>
    <w:rsid w:val="00D2607E"/>
    <w:rsid w:val="00D27A54"/>
    <w:rsid w:val="00D55ED8"/>
    <w:rsid w:val="00D56863"/>
    <w:rsid w:val="00D654B1"/>
    <w:rsid w:val="00D87D33"/>
    <w:rsid w:val="00D9060D"/>
    <w:rsid w:val="00D92985"/>
    <w:rsid w:val="00D93A35"/>
    <w:rsid w:val="00D977E1"/>
    <w:rsid w:val="00DA3AE0"/>
    <w:rsid w:val="00DA6F2C"/>
    <w:rsid w:val="00DA6FB8"/>
    <w:rsid w:val="00DB1DD2"/>
    <w:rsid w:val="00DB501E"/>
    <w:rsid w:val="00DB534C"/>
    <w:rsid w:val="00DB58AE"/>
    <w:rsid w:val="00DC208E"/>
    <w:rsid w:val="00DD1B2B"/>
    <w:rsid w:val="00DD275E"/>
    <w:rsid w:val="00DF4F53"/>
    <w:rsid w:val="00E105AC"/>
    <w:rsid w:val="00E14AD5"/>
    <w:rsid w:val="00E23E60"/>
    <w:rsid w:val="00E331DB"/>
    <w:rsid w:val="00E34A09"/>
    <w:rsid w:val="00E36D91"/>
    <w:rsid w:val="00E42730"/>
    <w:rsid w:val="00E63D92"/>
    <w:rsid w:val="00E82625"/>
    <w:rsid w:val="00E82B47"/>
    <w:rsid w:val="00EA6BEB"/>
    <w:rsid w:val="00EC0B6A"/>
    <w:rsid w:val="00EC1F77"/>
    <w:rsid w:val="00EE6954"/>
    <w:rsid w:val="00EF6723"/>
    <w:rsid w:val="00EF6EB5"/>
    <w:rsid w:val="00EF6F54"/>
    <w:rsid w:val="00F1230B"/>
    <w:rsid w:val="00F313C2"/>
    <w:rsid w:val="00F34BBA"/>
    <w:rsid w:val="00F34EB6"/>
    <w:rsid w:val="00F4387A"/>
    <w:rsid w:val="00F60AE0"/>
    <w:rsid w:val="00F616FF"/>
    <w:rsid w:val="00F7501C"/>
    <w:rsid w:val="00F83233"/>
    <w:rsid w:val="00F93EE2"/>
    <w:rsid w:val="00FA111E"/>
    <w:rsid w:val="00FC3F32"/>
    <w:rsid w:val="00FC4ADE"/>
    <w:rsid w:val="00FC5DCC"/>
    <w:rsid w:val="00FD1CC2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E06FB"/>
  <w15:docId w15:val="{F5842B8D-9C33-43A2-AA5B-00E60B53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6E0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6E06"/>
    <w:rPr>
      <w:rFonts w:ascii="Segoe UI" w:eastAsiaTheme="minorEastAsia" w:hAnsi="Segoe UI" w:cs="Segoe UI"/>
      <w:sz w:val="18"/>
      <w:szCs w:val="18"/>
    </w:rPr>
  </w:style>
  <w:style w:type="table" w:styleId="a6">
    <w:name w:val="Table Grid"/>
    <w:basedOn w:val="a1"/>
    <w:uiPriority w:val="39"/>
    <w:rsid w:val="0057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4AD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5224-F5E5-4670-883B-36499EDB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Єршова Лариса Олександрівна</dc:creator>
  <cp:keywords/>
  <dc:description/>
  <cp:lastModifiedBy>Федорова Олеся Григорівна</cp:lastModifiedBy>
  <cp:revision>23</cp:revision>
  <cp:lastPrinted>2020-09-08T13:52:00Z</cp:lastPrinted>
  <dcterms:created xsi:type="dcterms:W3CDTF">2023-12-07T08:24:00Z</dcterms:created>
  <dcterms:modified xsi:type="dcterms:W3CDTF">2024-08-06T14:11:00Z</dcterms:modified>
</cp:coreProperties>
</file>